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0A38D" w14:textId="60B339C9" w:rsidR="00F6618F" w:rsidRPr="0075675D" w:rsidRDefault="00F6618F" w:rsidP="00BD2C2C">
      <w:pPr>
        <w:pStyle w:val="NormalWeb"/>
        <w:spacing w:before="120" w:beforeAutospacing="0" w:after="120" w:afterAutospacing="0"/>
        <w:ind w:right="113"/>
        <w:rPr>
          <w:rFonts w:asciiTheme="minorHAnsi" w:hAnsiTheme="minorHAnsi" w:cstheme="minorHAnsi"/>
          <w:sz w:val="28"/>
          <w:szCs w:val="28"/>
        </w:rPr>
      </w:pPr>
      <w:r w:rsidRPr="0075675D">
        <w:rPr>
          <w:rFonts w:asciiTheme="minorHAnsi" w:hAnsiTheme="minorHAnsi" w:cstheme="minorHAnsi"/>
          <w:b/>
          <w:bCs/>
          <w:color w:val="215F9A"/>
          <w:sz w:val="28"/>
          <w:szCs w:val="28"/>
        </w:rPr>
        <w:t>Information to Assist Individual Submissions</w:t>
      </w:r>
      <w:r w:rsidR="00F34A17">
        <w:rPr>
          <w:rFonts w:asciiTheme="minorHAnsi" w:hAnsiTheme="minorHAnsi" w:cstheme="minorHAnsi"/>
          <w:b/>
          <w:bCs/>
          <w:color w:val="215F9A"/>
          <w:sz w:val="28"/>
          <w:szCs w:val="28"/>
        </w:rPr>
        <w:t xml:space="preserve"> </w:t>
      </w:r>
      <w:r w:rsidRPr="0075675D">
        <w:rPr>
          <w:rFonts w:asciiTheme="minorHAnsi" w:hAnsiTheme="minorHAnsi" w:cstheme="minorHAnsi"/>
          <w:b/>
          <w:bCs/>
          <w:color w:val="215F9A"/>
          <w:sz w:val="28"/>
          <w:szCs w:val="28"/>
        </w:rPr>
        <w:t>regarding Activity Centres</w:t>
      </w:r>
    </w:p>
    <w:p w14:paraId="001F1F1C" w14:textId="77777777" w:rsidR="00F6618F" w:rsidRPr="00D14F52" w:rsidRDefault="00F6618F" w:rsidP="00BD2C2C">
      <w:pPr>
        <w:pStyle w:val="NormalWeb"/>
        <w:spacing w:before="120" w:beforeAutospacing="0" w:after="120" w:afterAutospacing="0"/>
        <w:ind w:right="112"/>
        <w:rPr>
          <w:rFonts w:asciiTheme="minorHAnsi" w:hAnsiTheme="minorHAnsi" w:cstheme="minorHAnsi"/>
        </w:rPr>
      </w:pPr>
      <w:r w:rsidRPr="00D14F52">
        <w:rPr>
          <w:rFonts w:asciiTheme="minorHAnsi" w:hAnsiTheme="minorHAnsi" w:cstheme="minorHAnsi"/>
          <w:b/>
          <w:bCs/>
          <w:color w:val="000000"/>
        </w:rPr>
        <w:t>The Phase 1 “Consultation” process for Activity Centre has started and a limited scope online survey is available until 30</w:t>
      </w:r>
      <w:r w:rsidRPr="00D14F52">
        <w:rPr>
          <w:rFonts w:asciiTheme="minorHAnsi" w:hAnsiTheme="minorHAnsi" w:cstheme="minorHAnsi"/>
          <w:b/>
          <w:bCs/>
          <w:color w:val="000000"/>
          <w:vertAlign w:val="superscript"/>
        </w:rPr>
        <w:t xml:space="preserve"> </w:t>
      </w:r>
      <w:r w:rsidRPr="00D14F52">
        <w:rPr>
          <w:rFonts w:asciiTheme="minorHAnsi" w:hAnsiTheme="minorHAnsi" w:cstheme="minorHAnsi"/>
          <w:b/>
          <w:bCs/>
          <w:color w:val="000000"/>
        </w:rPr>
        <w:t xml:space="preserve">November at https://engage.vic.gov.au/project/activity-centres-program-stage-two/survey/6150#sub-nav.  </w:t>
      </w:r>
      <w:r w:rsidRPr="00D14F52">
        <w:rPr>
          <w:rFonts w:asciiTheme="minorHAnsi" w:hAnsiTheme="minorHAnsi" w:cstheme="minorHAnsi"/>
          <w:color w:val="000000"/>
        </w:rPr>
        <w:t xml:space="preserve">This is the opportunity that the government has provided for you to identify what </w:t>
      </w:r>
      <w:r w:rsidRPr="00D14F52">
        <w:rPr>
          <w:rFonts w:asciiTheme="minorHAnsi" w:hAnsiTheme="minorHAnsi" w:cstheme="minorHAnsi"/>
          <w:b/>
          <w:bCs/>
          <w:color w:val="000000"/>
          <w:u w:val="single"/>
        </w:rPr>
        <w:t>you value in the Activity Centre areas</w:t>
      </w:r>
      <w:r w:rsidRPr="00D14F52">
        <w:rPr>
          <w:rFonts w:asciiTheme="minorHAnsi" w:hAnsiTheme="minorHAnsi" w:cstheme="minorHAnsi"/>
          <w:color w:val="000000"/>
        </w:rPr>
        <w:t>.</w:t>
      </w:r>
    </w:p>
    <w:p w14:paraId="44F92234" w14:textId="38A57155" w:rsidR="00F6618F" w:rsidRPr="00D14F52" w:rsidRDefault="00F6618F" w:rsidP="00BD2C2C">
      <w:pPr>
        <w:pStyle w:val="NormalWeb"/>
        <w:spacing w:before="120" w:beforeAutospacing="0" w:after="120" w:afterAutospacing="0"/>
        <w:ind w:right="112"/>
        <w:jc w:val="both"/>
        <w:rPr>
          <w:rFonts w:asciiTheme="minorHAnsi" w:hAnsiTheme="minorHAnsi" w:cstheme="minorHAnsi"/>
        </w:rPr>
      </w:pPr>
      <w:r w:rsidRPr="00D14F52">
        <w:rPr>
          <w:rFonts w:asciiTheme="minorHAnsi" w:hAnsiTheme="minorHAnsi" w:cstheme="minorHAnsi"/>
          <w:b/>
          <w:bCs/>
          <w:color w:val="000000"/>
          <w:u w:val="single"/>
        </w:rPr>
        <w:t xml:space="preserve">You can also provide an individual submission directly to: </w:t>
      </w:r>
      <w:hyperlink r:id="rId7" w:history="1">
        <w:r w:rsidRPr="00D14F52">
          <w:rPr>
            <w:rStyle w:val="Hyperlink"/>
            <w:rFonts w:asciiTheme="minorHAnsi" w:hAnsiTheme="minorHAnsi" w:cstheme="minorHAnsi"/>
            <w:b/>
            <w:bCs/>
            <w:color w:val="467886"/>
          </w:rPr>
          <w:t>activity.centres@transport.vic.gov.au</w:t>
        </w:r>
      </w:hyperlink>
      <w:r w:rsidRPr="00D14F52">
        <w:rPr>
          <w:rFonts w:asciiTheme="minorHAnsi" w:hAnsiTheme="minorHAnsi" w:cstheme="minorHAnsi"/>
          <w:color w:val="000000"/>
        </w:rPr>
        <w:t>. You can also send a submission to your local and/or opposition members. See</w:t>
      </w:r>
      <w:r w:rsidR="00BD2C2C">
        <w:rPr>
          <w:rFonts w:asciiTheme="minorHAnsi" w:hAnsiTheme="minorHAnsi" w:cstheme="minorHAnsi"/>
          <w:color w:val="000000"/>
        </w:rPr>
        <w:t xml:space="preserve"> above</w:t>
      </w:r>
      <w:r w:rsidRPr="00D14F52">
        <w:rPr>
          <w:rFonts w:asciiTheme="minorHAnsi" w:hAnsiTheme="minorHAnsi" w:cstheme="minorHAnsi"/>
          <w:color w:val="000000"/>
        </w:rPr>
        <w:t xml:space="preserve"> attachment for relevant addresses. Government takes more notice of individual submissions, compared to proformas or petitions. </w:t>
      </w:r>
      <w:r w:rsidRPr="00D14F52">
        <w:rPr>
          <w:rFonts w:asciiTheme="minorHAnsi" w:hAnsiTheme="minorHAnsi" w:cstheme="minorHAnsi"/>
          <w:b/>
          <w:color w:val="000000"/>
        </w:rPr>
        <w:t>B</w:t>
      </w:r>
      <w:r w:rsidRPr="00D14F52">
        <w:rPr>
          <w:rFonts w:asciiTheme="minorHAnsi" w:hAnsiTheme="minorHAnsi" w:cstheme="minorHAnsi"/>
          <w:b/>
          <w:bCs/>
          <w:color w:val="000000"/>
        </w:rPr>
        <w:t xml:space="preserve">elow are some </w:t>
      </w:r>
      <w:r w:rsidRPr="00D14F52">
        <w:rPr>
          <w:rFonts w:asciiTheme="minorHAnsi" w:hAnsiTheme="minorHAnsi" w:cstheme="minorHAnsi"/>
          <w:color w:val="000000"/>
        </w:rPr>
        <w:t xml:space="preserve">points that you may wish to consider in </w:t>
      </w:r>
      <w:r w:rsidRPr="00D14F52">
        <w:rPr>
          <w:rFonts w:asciiTheme="minorHAnsi" w:hAnsiTheme="minorHAnsi" w:cstheme="minorHAnsi"/>
          <w:b/>
          <w:bCs/>
          <w:color w:val="000000"/>
        </w:rPr>
        <w:t>your own individual submission</w:t>
      </w:r>
      <w:r w:rsidRPr="00D14F52">
        <w:rPr>
          <w:rFonts w:asciiTheme="minorHAnsi" w:hAnsiTheme="minorHAnsi" w:cstheme="minorHAnsi"/>
          <w:color w:val="000000"/>
        </w:rPr>
        <w:t>.</w:t>
      </w:r>
    </w:p>
    <w:p w14:paraId="24A2051A" w14:textId="365A28A3" w:rsidR="00F6618F" w:rsidRPr="00D14F52" w:rsidRDefault="00F6618F" w:rsidP="00BD2C2C">
      <w:pPr>
        <w:pStyle w:val="NormalWeb"/>
        <w:spacing w:before="120" w:beforeAutospacing="0" w:after="120" w:afterAutospacing="0"/>
        <w:ind w:right="112"/>
        <w:jc w:val="both"/>
        <w:rPr>
          <w:rFonts w:asciiTheme="minorHAnsi" w:hAnsiTheme="minorHAnsi" w:cstheme="minorHAnsi"/>
        </w:rPr>
      </w:pPr>
      <w:r w:rsidRPr="00D14F52">
        <w:rPr>
          <w:rFonts w:asciiTheme="minorHAnsi" w:hAnsiTheme="minorHAnsi" w:cstheme="minorHAnsi"/>
          <w:b/>
          <w:bCs/>
          <w:color w:val="000000"/>
          <w:u w:val="single"/>
        </w:rPr>
        <w:t xml:space="preserve">Some </w:t>
      </w:r>
      <w:r w:rsidR="009D47BD" w:rsidRPr="00D14F52">
        <w:rPr>
          <w:rFonts w:asciiTheme="minorHAnsi" w:hAnsiTheme="minorHAnsi" w:cstheme="minorHAnsi"/>
          <w:b/>
          <w:bCs/>
          <w:color w:val="000000"/>
          <w:u w:val="single"/>
        </w:rPr>
        <w:t>background.</w:t>
      </w:r>
    </w:p>
    <w:p w14:paraId="76AA80FF" w14:textId="77777777" w:rsidR="00F6618F" w:rsidRPr="00D14F52" w:rsidRDefault="00F6618F" w:rsidP="00F34A17">
      <w:pPr>
        <w:pStyle w:val="NormalWeb"/>
        <w:spacing w:before="0" w:beforeAutospacing="0" w:after="60" w:afterAutospacing="0"/>
        <w:ind w:right="112"/>
        <w:jc w:val="both"/>
        <w:rPr>
          <w:rFonts w:asciiTheme="minorHAnsi" w:hAnsiTheme="minorHAnsi" w:cstheme="minorHAnsi"/>
        </w:rPr>
      </w:pPr>
      <w:r w:rsidRPr="00D14F52">
        <w:rPr>
          <w:rFonts w:asciiTheme="minorHAnsi" w:hAnsiTheme="minorHAnsi" w:cstheme="minorHAnsi"/>
          <w:color w:val="000000"/>
        </w:rPr>
        <w:t>The Federal Government has deemed, on behalf of the people of Australia, that we need more housing, and State Governments have agreed to deliver and meet substantially increased housing targets, which require improved infrastructure and inner densification.</w:t>
      </w:r>
    </w:p>
    <w:p w14:paraId="0623AC94" w14:textId="77777777" w:rsidR="00F6618F" w:rsidRPr="00D14F52" w:rsidRDefault="00F6618F" w:rsidP="00F34A17">
      <w:pPr>
        <w:pStyle w:val="NormalWeb"/>
        <w:spacing w:before="0" w:beforeAutospacing="0" w:after="60" w:afterAutospacing="0"/>
        <w:ind w:right="112"/>
        <w:jc w:val="both"/>
        <w:rPr>
          <w:rFonts w:asciiTheme="minorHAnsi" w:hAnsiTheme="minorHAnsi" w:cstheme="minorHAnsi"/>
        </w:rPr>
      </w:pPr>
      <w:r w:rsidRPr="00D14F52">
        <w:rPr>
          <w:rFonts w:asciiTheme="minorHAnsi" w:hAnsiTheme="minorHAnsi" w:cstheme="minorHAnsi"/>
          <w:color w:val="000000"/>
        </w:rPr>
        <w:t>Whitehorse Council has been told by the state government that it has a target to double the number of existing dwellings over the next 25 years, to be achieved by increasing density through the development of multilevel apartment dwellings, at the expense of the traditional house and garden settings that we currently live in and enjoy. The main focus of this type of development is proposed to be in areas designated by the state government as “Activity Centres”, to be located In Whitehorse around Blackburn, Nunawading and Mitcham railway stations, as well as the Suburban Railway Loop (SRL) sites: Box Hill and Burwood.</w:t>
      </w:r>
    </w:p>
    <w:p w14:paraId="21A059A6" w14:textId="77777777" w:rsidR="00F6618F" w:rsidRPr="00D14F52" w:rsidRDefault="00F6618F" w:rsidP="00F34A17">
      <w:pPr>
        <w:pStyle w:val="NormalWeb"/>
        <w:spacing w:before="0" w:beforeAutospacing="0" w:after="60" w:afterAutospacing="0"/>
        <w:ind w:right="112"/>
        <w:jc w:val="both"/>
        <w:rPr>
          <w:rFonts w:asciiTheme="minorHAnsi" w:hAnsiTheme="minorHAnsi" w:cstheme="minorHAnsi"/>
        </w:rPr>
      </w:pPr>
      <w:r w:rsidRPr="00D14F52">
        <w:rPr>
          <w:rFonts w:asciiTheme="minorHAnsi" w:hAnsiTheme="minorHAnsi" w:cstheme="minorHAnsi"/>
          <w:color w:val="000000"/>
        </w:rPr>
        <w:t>This proposal takes little notice of existing Council plans for housing expansion, developed with community consultation, designed with liveability as a central focus and located in areas that are suitable for growth, whilst protecting high value environmental and heritage sites.</w:t>
      </w:r>
    </w:p>
    <w:p w14:paraId="1F9BEB68" w14:textId="77777777" w:rsidR="00F6618F" w:rsidRPr="00D14F52" w:rsidRDefault="00F6618F" w:rsidP="00F34A17">
      <w:pPr>
        <w:pStyle w:val="NormalWeb"/>
        <w:spacing w:before="0" w:beforeAutospacing="0" w:after="60" w:afterAutospacing="0"/>
        <w:ind w:right="112"/>
        <w:jc w:val="both"/>
        <w:rPr>
          <w:rFonts w:asciiTheme="minorHAnsi" w:hAnsiTheme="minorHAnsi" w:cstheme="minorHAnsi"/>
        </w:rPr>
      </w:pPr>
      <w:r w:rsidRPr="00D14F52">
        <w:rPr>
          <w:rFonts w:asciiTheme="minorHAnsi" w:hAnsiTheme="minorHAnsi" w:cstheme="minorHAnsi"/>
          <w:color w:val="000000"/>
        </w:rPr>
        <w:t>The State Government’s Activity Centre 800m radius “walkable catchment” instead includes many areas South and East of each railway station that have important environmental and heritage assets. These areas have been recognised and protected from development by community action, supportive council zoning and Significant Landscape Overlays (SLOs) for decades – with parts recognised by the National Trust due to their significant ecological value, as well as the original “Blackburn Model Village” heritage values and Nunawading’s and Mitcham’s special assets.</w:t>
      </w:r>
    </w:p>
    <w:p w14:paraId="3BA2ADCD" w14:textId="77777777" w:rsidR="00F6618F" w:rsidRPr="00D14F52" w:rsidRDefault="00F6618F" w:rsidP="00F34A17">
      <w:pPr>
        <w:pStyle w:val="NormalWeb"/>
        <w:spacing w:before="0" w:beforeAutospacing="0" w:after="60" w:afterAutospacing="0"/>
        <w:ind w:right="112"/>
        <w:jc w:val="both"/>
        <w:rPr>
          <w:rFonts w:asciiTheme="minorHAnsi" w:hAnsiTheme="minorHAnsi" w:cstheme="minorHAnsi"/>
        </w:rPr>
      </w:pPr>
      <w:r w:rsidRPr="00D14F52">
        <w:rPr>
          <w:rFonts w:asciiTheme="minorHAnsi" w:hAnsiTheme="minorHAnsi" w:cstheme="minorHAnsi"/>
          <w:color w:val="000000"/>
        </w:rPr>
        <w:t>Many of these special areas have an important role in providing a wildlife corridor between Blackburn Lake, its headwaters and Gardiners Creek and this was formally recognised by Whitehorse council in 2002 in its Blackburn Lake Surrounds Study. Zoning these areas as Neighbourhood Residential (NRZ) plus the addition of specific SLO’s, ensured this entire corridor was protected, maintaining a unique environment.</w:t>
      </w:r>
    </w:p>
    <w:p w14:paraId="6AF27413" w14:textId="77777777" w:rsidR="00F6618F" w:rsidRPr="00D14F52" w:rsidRDefault="00F6618F" w:rsidP="00F34A17">
      <w:pPr>
        <w:pStyle w:val="NormalWeb"/>
        <w:spacing w:before="0" w:beforeAutospacing="0" w:after="60" w:afterAutospacing="0"/>
        <w:ind w:right="112"/>
        <w:jc w:val="both"/>
        <w:rPr>
          <w:rFonts w:asciiTheme="minorHAnsi" w:hAnsiTheme="minorHAnsi" w:cstheme="minorHAnsi"/>
        </w:rPr>
      </w:pPr>
      <w:r w:rsidRPr="00D14F52">
        <w:rPr>
          <w:rFonts w:asciiTheme="minorHAnsi" w:hAnsiTheme="minorHAnsi" w:cstheme="minorHAnsi"/>
          <w:color w:val="000000"/>
        </w:rPr>
        <w:t>Instead, the Activity Centre’s new “walkable catchments” zoning (HCTZ – Housing Choice Transport Zone) will be focused on developing 3-6 storey apartment buildings as-of-right (outside of a core up to 12 storeys), with only small areas to be left available for vegetation and set- backs and with limited opportunity for community objection. These objectives pose a major risk to the significant ecological values and heritage values that have been long protected by existing zoning and overlays.</w:t>
      </w:r>
    </w:p>
    <w:p w14:paraId="725BFE9A" w14:textId="77777777" w:rsidR="00F6618F" w:rsidRPr="00D14F52" w:rsidRDefault="00F6618F" w:rsidP="00F34A17">
      <w:pPr>
        <w:pStyle w:val="NormalWeb"/>
        <w:spacing w:before="0" w:beforeAutospacing="0" w:after="60" w:afterAutospacing="0"/>
        <w:ind w:right="112"/>
        <w:rPr>
          <w:rFonts w:asciiTheme="minorHAnsi" w:hAnsiTheme="minorHAnsi" w:cstheme="minorHAnsi"/>
        </w:rPr>
      </w:pPr>
      <w:r w:rsidRPr="00D14F52">
        <w:rPr>
          <w:rFonts w:asciiTheme="minorHAnsi" w:hAnsiTheme="minorHAnsi" w:cstheme="minorHAnsi"/>
          <w:b/>
          <w:bCs/>
          <w:color w:val="000000"/>
          <w:u w:val="single"/>
        </w:rPr>
        <w:t>Some points you may like to consider in your submission:</w:t>
      </w:r>
    </w:p>
    <w:p w14:paraId="4E4343F8" w14:textId="3BD5C10B" w:rsidR="00F6618F" w:rsidRPr="00D14F52" w:rsidRDefault="00F6618F" w:rsidP="00F34A17">
      <w:pPr>
        <w:pStyle w:val="NormalWeb"/>
        <w:numPr>
          <w:ilvl w:val="0"/>
          <w:numId w:val="19"/>
        </w:numPr>
        <w:spacing w:before="0" w:beforeAutospacing="0" w:after="60" w:afterAutospacing="0"/>
        <w:ind w:left="426" w:right="180"/>
        <w:jc w:val="both"/>
        <w:textAlignment w:val="baseline"/>
        <w:rPr>
          <w:rFonts w:asciiTheme="minorHAnsi" w:hAnsiTheme="minorHAnsi" w:cstheme="minorHAnsi"/>
          <w:color w:val="000000"/>
        </w:rPr>
      </w:pPr>
      <w:r w:rsidRPr="00D14F52">
        <w:rPr>
          <w:rFonts w:asciiTheme="minorHAnsi" w:hAnsiTheme="minorHAnsi" w:cstheme="minorHAnsi"/>
          <w:color w:val="000000"/>
        </w:rPr>
        <w:t>Blackburn already has an Activity Centre, in place since 2010, which has/is contributing a large number of new dwellings meeting the government’s Housing Statement.</w:t>
      </w:r>
    </w:p>
    <w:p w14:paraId="05935BD6" w14:textId="77777777" w:rsidR="00F6618F" w:rsidRPr="00D14F52" w:rsidRDefault="00F6618F" w:rsidP="00F34A17">
      <w:pPr>
        <w:pStyle w:val="NormalWeb"/>
        <w:numPr>
          <w:ilvl w:val="0"/>
          <w:numId w:val="19"/>
        </w:numPr>
        <w:spacing w:before="0" w:beforeAutospacing="0" w:after="60" w:afterAutospacing="0"/>
        <w:ind w:left="426" w:right="180"/>
        <w:jc w:val="both"/>
        <w:textAlignment w:val="baseline"/>
        <w:rPr>
          <w:rFonts w:asciiTheme="minorHAnsi" w:hAnsiTheme="minorHAnsi" w:cstheme="minorHAnsi"/>
          <w:color w:val="000000"/>
        </w:rPr>
      </w:pPr>
      <w:r w:rsidRPr="00D14F52">
        <w:rPr>
          <w:rFonts w:asciiTheme="minorHAnsi" w:hAnsiTheme="minorHAnsi" w:cstheme="minorHAnsi"/>
          <w:color w:val="000000"/>
        </w:rPr>
        <w:t>By focusing growth North of the railway stations, Whitehorse council’s existing housing strategy not only achieves the government’s new target but also enables the protection of significant ecological and heritage values that exist South and East of the stations. This is accomplished through special Neighbourhood Zoning and Significant Landscape Overlays (SLOs) that cover much of the residential area surrounding Blackburn Lake and its adjoining Creeklands, including the special Bellbird streets. </w:t>
      </w:r>
    </w:p>
    <w:p w14:paraId="67352CF4" w14:textId="77777777" w:rsidR="00250FEB" w:rsidRDefault="00250FEB">
      <w:pPr>
        <w:rPr>
          <w:rFonts w:eastAsia="Times New Roman" w:cstheme="minorHAnsi"/>
          <w:color w:val="000000"/>
          <w:sz w:val="24"/>
          <w:szCs w:val="24"/>
          <w:lang w:eastAsia="zh-CN" w:bidi="th-TH"/>
        </w:rPr>
      </w:pPr>
      <w:r>
        <w:rPr>
          <w:rFonts w:cstheme="minorHAnsi"/>
          <w:color w:val="000000"/>
        </w:rPr>
        <w:br w:type="page"/>
      </w:r>
    </w:p>
    <w:p w14:paraId="0136D2F3" w14:textId="7165BDF4" w:rsidR="00F6618F" w:rsidRPr="00D14F52" w:rsidRDefault="00F6618F" w:rsidP="00F34A17">
      <w:pPr>
        <w:pStyle w:val="NormalWeb"/>
        <w:numPr>
          <w:ilvl w:val="0"/>
          <w:numId w:val="19"/>
        </w:numPr>
        <w:spacing w:before="0" w:beforeAutospacing="0" w:after="60" w:afterAutospacing="0"/>
        <w:ind w:left="426" w:right="180"/>
        <w:jc w:val="both"/>
        <w:textAlignment w:val="baseline"/>
        <w:rPr>
          <w:rFonts w:asciiTheme="minorHAnsi" w:hAnsiTheme="minorHAnsi" w:cstheme="minorHAnsi"/>
          <w:color w:val="000000"/>
        </w:rPr>
      </w:pPr>
      <w:r w:rsidRPr="00D14F52">
        <w:rPr>
          <w:rFonts w:asciiTheme="minorHAnsi" w:hAnsiTheme="minorHAnsi" w:cstheme="minorHAnsi"/>
          <w:color w:val="000000"/>
        </w:rPr>
        <w:lastRenderedPageBreak/>
        <w:t>The Bellbird streetscapes within the proposed Activity Centre development area are so special they have been recognised by the National Trust and are considered a sanctuary / oasis, because of the existing strict planning rules, allowing ample room for gardens and streetscapes with retained remnant native trees. </w:t>
      </w:r>
    </w:p>
    <w:p w14:paraId="2F475C37" w14:textId="77777777" w:rsidR="00F6618F" w:rsidRPr="00D14F52" w:rsidRDefault="00F6618F" w:rsidP="00F34A17">
      <w:pPr>
        <w:pStyle w:val="NormalWeb"/>
        <w:numPr>
          <w:ilvl w:val="0"/>
          <w:numId w:val="19"/>
        </w:numPr>
        <w:spacing w:before="0" w:beforeAutospacing="0" w:after="60" w:afterAutospacing="0"/>
        <w:ind w:left="426" w:right="180"/>
        <w:jc w:val="both"/>
        <w:textAlignment w:val="baseline"/>
        <w:rPr>
          <w:rFonts w:asciiTheme="minorHAnsi" w:hAnsiTheme="minorHAnsi" w:cstheme="minorHAnsi"/>
          <w:color w:val="000000"/>
        </w:rPr>
      </w:pPr>
      <w:r w:rsidRPr="00D14F52">
        <w:rPr>
          <w:rFonts w:asciiTheme="minorHAnsi" w:hAnsiTheme="minorHAnsi" w:cstheme="minorHAnsi"/>
          <w:color w:val="000000"/>
        </w:rPr>
        <w:t>Generations of residents have advocated for the protection of these streets and have directly contributed funds to underground power and upgrade the streetscape habitat values, in order to protect and maintain the special environment that it is renowned and loved for. As older residents have left the area, new families have taken their place who appreciate this special environment and continue the conservation and advocacy work of their predecessors.</w:t>
      </w:r>
    </w:p>
    <w:p w14:paraId="5FA97CB3" w14:textId="77777777" w:rsidR="00F6618F" w:rsidRPr="00D14F52" w:rsidRDefault="00F6618F" w:rsidP="00F34A17">
      <w:pPr>
        <w:pStyle w:val="NormalWeb"/>
        <w:numPr>
          <w:ilvl w:val="0"/>
          <w:numId w:val="19"/>
        </w:numPr>
        <w:spacing w:before="0" w:beforeAutospacing="0" w:after="60" w:afterAutospacing="0"/>
        <w:ind w:left="426" w:right="180"/>
        <w:jc w:val="both"/>
        <w:textAlignment w:val="baseline"/>
        <w:rPr>
          <w:rFonts w:asciiTheme="minorHAnsi" w:hAnsiTheme="minorHAnsi" w:cstheme="minorHAnsi"/>
          <w:color w:val="000000"/>
        </w:rPr>
      </w:pPr>
      <w:r w:rsidRPr="00D14F52">
        <w:rPr>
          <w:rFonts w:asciiTheme="minorHAnsi" w:hAnsiTheme="minorHAnsi" w:cstheme="minorHAnsi"/>
          <w:color w:val="000000"/>
        </w:rPr>
        <w:t xml:space="preserve">Currently residents and other community members enjoy the sanctuary that these streets and their remnant trees provide, with a large range of birds* and wildlife** relying on the existing large native trees with hollows for their food and homes. Because the streets adjoin the Blackburn creeklands they provide a haven for both birds and animals and are an essential part of a bushland “habitat corridor” joining the Blackburn Lake Sanctuary to Gardiners Creek. </w:t>
      </w:r>
      <w:r w:rsidRPr="00D14F52">
        <w:rPr>
          <w:rFonts w:asciiTheme="minorHAnsi" w:hAnsiTheme="minorHAnsi" w:cstheme="minorHAnsi"/>
          <w:b/>
          <w:bCs/>
          <w:color w:val="000000"/>
          <w:u w:val="single"/>
        </w:rPr>
        <w:t>If the SLO 1 &amp; 2 areas are rezoned to become part of the Activity Centre as currently proposed, their ecological values will be destroyed, particularly once the canopy trees and existing native vegetation are not present, the native birds and animals that delight the whole community, will disappear.</w:t>
      </w:r>
    </w:p>
    <w:p w14:paraId="0421D8C1" w14:textId="77777777" w:rsidR="00F6618F" w:rsidRPr="00D14F52" w:rsidRDefault="00F6618F" w:rsidP="00F34A17">
      <w:pPr>
        <w:pStyle w:val="NormalWeb"/>
        <w:numPr>
          <w:ilvl w:val="0"/>
          <w:numId w:val="19"/>
        </w:numPr>
        <w:spacing w:before="0" w:beforeAutospacing="0" w:after="60" w:afterAutospacing="0"/>
        <w:ind w:left="426" w:right="180"/>
        <w:jc w:val="both"/>
        <w:textAlignment w:val="baseline"/>
        <w:rPr>
          <w:rFonts w:asciiTheme="minorHAnsi" w:hAnsiTheme="minorHAnsi" w:cstheme="minorHAnsi"/>
          <w:color w:val="000000"/>
        </w:rPr>
      </w:pPr>
      <w:r w:rsidRPr="00D14F52">
        <w:rPr>
          <w:rFonts w:asciiTheme="minorHAnsi" w:hAnsiTheme="minorHAnsi" w:cstheme="minorHAnsi"/>
          <w:color w:val="000000"/>
        </w:rPr>
        <w:t>Trees are needed to address both current and future climate impacts, particularly to minimise the urban heat island effect. This has been recognised in Whitehorse Council’s Urban Forest Strategy and the introduction of a statewide planning scheme target of 30% tree cover. </w:t>
      </w:r>
    </w:p>
    <w:p w14:paraId="21850755" w14:textId="77777777" w:rsidR="00F6618F" w:rsidRPr="00D14F52" w:rsidRDefault="00F6618F" w:rsidP="00F34A17">
      <w:pPr>
        <w:pStyle w:val="NormalWeb"/>
        <w:numPr>
          <w:ilvl w:val="0"/>
          <w:numId w:val="19"/>
        </w:numPr>
        <w:spacing w:before="0" w:beforeAutospacing="0" w:after="60" w:afterAutospacing="0"/>
        <w:ind w:left="426" w:right="180"/>
        <w:jc w:val="both"/>
        <w:textAlignment w:val="baseline"/>
        <w:rPr>
          <w:rFonts w:asciiTheme="minorHAnsi" w:hAnsiTheme="minorHAnsi" w:cstheme="minorHAnsi"/>
          <w:color w:val="000000"/>
        </w:rPr>
      </w:pPr>
      <w:r w:rsidRPr="00D14F52">
        <w:rPr>
          <w:rFonts w:asciiTheme="minorHAnsi" w:hAnsiTheme="minorHAnsi" w:cstheme="minorHAnsi"/>
          <w:color w:val="000000"/>
        </w:rPr>
        <w:t>The Activity Centre’s new zoning and planning processes encourage large apartment blocks that take up all but 10% of the block size. Just in Linum St, over 220 streetside trees would most likely need to be removed to provide the necessary new road and infrastructure upgrades required to support the building and maintenance for the increase in dwellings expected under the proposed new growth zoning.</w:t>
      </w:r>
    </w:p>
    <w:p w14:paraId="07770998" w14:textId="72E8A0F4" w:rsidR="00F6618F" w:rsidRPr="00D14F52" w:rsidRDefault="00F6618F" w:rsidP="00F34A17">
      <w:pPr>
        <w:pStyle w:val="NormalWeb"/>
        <w:numPr>
          <w:ilvl w:val="0"/>
          <w:numId w:val="19"/>
        </w:numPr>
        <w:spacing w:before="0" w:beforeAutospacing="0" w:after="60" w:afterAutospacing="0"/>
        <w:ind w:left="426" w:right="180"/>
        <w:jc w:val="both"/>
        <w:textAlignment w:val="baseline"/>
        <w:rPr>
          <w:rFonts w:asciiTheme="minorHAnsi" w:hAnsiTheme="minorHAnsi" w:cstheme="minorHAnsi"/>
          <w:color w:val="000000"/>
        </w:rPr>
      </w:pPr>
      <w:r w:rsidRPr="00D14F52">
        <w:rPr>
          <w:rFonts w:asciiTheme="minorHAnsi" w:hAnsiTheme="minorHAnsi" w:cstheme="minorHAnsi"/>
          <w:color w:val="000000"/>
        </w:rPr>
        <w:t xml:space="preserve">Swapping the quality shading, greenhouse mitigation and reduced runoff benefits that existing trees within the SLO areas currently provide Whitehorse residents for concrete heat sinks, is </w:t>
      </w:r>
      <w:r w:rsidR="009D47BD" w:rsidRPr="00D14F52">
        <w:rPr>
          <w:rFonts w:asciiTheme="minorHAnsi" w:hAnsiTheme="minorHAnsi" w:cstheme="minorHAnsi"/>
          <w:color w:val="000000"/>
        </w:rPr>
        <w:t>regressive.</w:t>
      </w:r>
    </w:p>
    <w:p w14:paraId="7CB7CB28" w14:textId="0BAE192C" w:rsidR="00F6618F" w:rsidRPr="00D14F52" w:rsidRDefault="00F6618F" w:rsidP="00F34A17">
      <w:pPr>
        <w:pStyle w:val="NormalWeb"/>
        <w:numPr>
          <w:ilvl w:val="0"/>
          <w:numId w:val="19"/>
        </w:numPr>
        <w:spacing w:before="0" w:beforeAutospacing="0" w:after="60" w:afterAutospacing="0"/>
        <w:ind w:left="426" w:right="180"/>
        <w:jc w:val="both"/>
        <w:textAlignment w:val="baseline"/>
        <w:rPr>
          <w:rFonts w:asciiTheme="minorHAnsi" w:hAnsiTheme="minorHAnsi" w:cstheme="minorHAnsi"/>
          <w:color w:val="000000"/>
        </w:rPr>
      </w:pPr>
      <w:r w:rsidRPr="00D14F52">
        <w:rPr>
          <w:rFonts w:asciiTheme="minorHAnsi" w:hAnsiTheme="minorHAnsi" w:cstheme="minorHAnsi"/>
          <w:color w:val="000000"/>
        </w:rPr>
        <w:t>The principles of energy efficiency and water sensitive design, together with appropriate setbacks and sympathetic landscaping should be made integral design feature</w:t>
      </w:r>
      <w:r w:rsidR="00C431CE">
        <w:rPr>
          <w:rFonts w:asciiTheme="minorHAnsi" w:hAnsiTheme="minorHAnsi" w:cstheme="minorHAnsi"/>
          <w:color w:val="000000"/>
        </w:rPr>
        <w:t>s of all new housing</w:t>
      </w:r>
      <w:r w:rsidRPr="00D14F52">
        <w:rPr>
          <w:rFonts w:asciiTheme="minorHAnsi" w:hAnsiTheme="minorHAnsi" w:cstheme="minorHAnsi"/>
          <w:color w:val="000000"/>
        </w:rPr>
        <w:t>. Alternative models, without “moonscaped” blocks &amp; concrete consuming most of the site, should instead enable sunlight access to living rooms, energy efficient materials and design, lower long term environmental footprints and greater dwelling variation in building types and sizes.</w:t>
      </w:r>
    </w:p>
    <w:p w14:paraId="31F9AD8D" w14:textId="77777777" w:rsidR="00F6618F" w:rsidRPr="00D14F52" w:rsidRDefault="00F6618F" w:rsidP="00015A39">
      <w:pPr>
        <w:pStyle w:val="NormalWeb"/>
        <w:spacing w:before="0" w:beforeAutospacing="0" w:after="0" w:afterAutospacing="0"/>
        <w:ind w:right="113"/>
        <w:jc w:val="both"/>
        <w:rPr>
          <w:rFonts w:asciiTheme="minorHAnsi" w:hAnsiTheme="minorHAnsi" w:cstheme="minorHAnsi"/>
        </w:rPr>
      </w:pPr>
      <w:r w:rsidRPr="00D14F52">
        <w:rPr>
          <w:rFonts w:asciiTheme="minorHAnsi" w:hAnsiTheme="minorHAnsi" w:cstheme="minorHAnsi"/>
          <w:b/>
          <w:bCs/>
          <w:color w:val="000000"/>
          <w:u w:val="single"/>
        </w:rPr>
        <w:t>In Summary</w:t>
      </w:r>
    </w:p>
    <w:p w14:paraId="5283C2FA" w14:textId="77777777" w:rsidR="00F6618F" w:rsidRPr="00D14F52" w:rsidRDefault="00F6618F" w:rsidP="00F34A17">
      <w:pPr>
        <w:pStyle w:val="NormalWeb"/>
        <w:spacing w:before="0" w:beforeAutospacing="0" w:after="60" w:afterAutospacing="0"/>
        <w:ind w:right="112"/>
        <w:jc w:val="both"/>
        <w:rPr>
          <w:rFonts w:asciiTheme="minorHAnsi" w:hAnsiTheme="minorHAnsi" w:cstheme="minorHAnsi"/>
        </w:rPr>
      </w:pPr>
      <w:r w:rsidRPr="00D14F52">
        <w:rPr>
          <w:rFonts w:asciiTheme="minorHAnsi" w:hAnsiTheme="minorHAnsi" w:cstheme="minorHAnsi"/>
          <w:color w:val="000000"/>
        </w:rPr>
        <w:t xml:space="preserve">Whitehorse residents support appropriate development with local consultation in appropriate locations – as we have supported the current Whitehorse housing strategy.  </w:t>
      </w:r>
      <w:r w:rsidRPr="00D14F52">
        <w:rPr>
          <w:rFonts w:asciiTheme="minorHAnsi" w:hAnsiTheme="minorHAnsi" w:cstheme="minorHAnsi"/>
          <w:b/>
          <w:bCs/>
          <w:color w:val="000000"/>
          <w:u w:val="single"/>
        </w:rPr>
        <w:t>Surely it is possible to achieve housing goals whilst not destroying the significant ecological and historical values that generations of our community have worked hard to protect</w:t>
      </w:r>
      <w:r w:rsidRPr="00D14F52">
        <w:rPr>
          <w:rFonts w:asciiTheme="minorHAnsi" w:hAnsiTheme="minorHAnsi" w:cstheme="minorHAnsi"/>
          <w:color w:val="000000"/>
          <w:u w:val="single"/>
        </w:rPr>
        <w:t>.</w:t>
      </w:r>
    </w:p>
    <w:p w14:paraId="23DBD8F9" w14:textId="77777777" w:rsidR="00F6618F" w:rsidRPr="00D14F52" w:rsidRDefault="00F6618F" w:rsidP="00F34A17">
      <w:pPr>
        <w:pStyle w:val="NormalWeb"/>
        <w:spacing w:before="0" w:beforeAutospacing="0" w:after="60" w:afterAutospacing="0"/>
        <w:ind w:right="112"/>
        <w:jc w:val="both"/>
        <w:rPr>
          <w:rFonts w:asciiTheme="minorHAnsi" w:hAnsiTheme="minorHAnsi" w:cstheme="minorHAnsi"/>
        </w:rPr>
      </w:pPr>
      <w:r w:rsidRPr="00D14F52">
        <w:rPr>
          <w:rFonts w:asciiTheme="minorHAnsi" w:hAnsiTheme="minorHAnsi" w:cstheme="minorHAnsi"/>
          <w:color w:val="000000"/>
        </w:rPr>
        <w:t>The SLO protected streets provide direct benefits to the community such as climate change mitigation, the provision of habitat for native birds and animals and improving the wellbeing of community members who visit regularly. </w:t>
      </w:r>
    </w:p>
    <w:p w14:paraId="441F8E5D" w14:textId="77777777" w:rsidR="00F6618F" w:rsidRPr="00D14F52" w:rsidRDefault="00F6618F" w:rsidP="00F34A17">
      <w:pPr>
        <w:pStyle w:val="NormalWeb"/>
        <w:spacing w:before="0" w:beforeAutospacing="0" w:after="60" w:afterAutospacing="0"/>
        <w:ind w:right="112"/>
        <w:jc w:val="both"/>
        <w:rPr>
          <w:rFonts w:asciiTheme="minorHAnsi" w:hAnsiTheme="minorHAnsi" w:cstheme="minorHAnsi"/>
        </w:rPr>
      </w:pPr>
      <w:r w:rsidRPr="00D14F52">
        <w:rPr>
          <w:rFonts w:asciiTheme="minorHAnsi" w:hAnsiTheme="minorHAnsi" w:cstheme="minorHAnsi"/>
          <w:color w:val="000000"/>
        </w:rPr>
        <w:t>The destruction of the remnant vegetation cover in these areas, which provide an important contribution to Whitehorse’s Urban Forest Strategy’s canopy tree cover, for the sake of extra dwellings, does not make any sense when there are many other areas within Whitehorse that have less vegetation cover and ecological value. And, in some cases, already designated for growth, by Whitehorse Council. </w:t>
      </w:r>
    </w:p>
    <w:p w14:paraId="09A571AF" w14:textId="77777777" w:rsidR="00F6618F" w:rsidRPr="00D14F52" w:rsidRDefault="00F6618F" w:rsidP="00015A39">
      <w:pPr>
        <w:pStyle w:val="NormalWeb"/>
        <w:spacing w:before="0" w:beforeAutospacing="0" w:after="200" w:afterAutospacing="0"/>
        <w:ind w:right="113"/>
        <w:jc w:val="both"/>
        <w:rPr>
          <w:rFonts w:asciiTheme="minorHAnsi" w:hAnsiTheme="minorHAnsi" w:cstheme="minorHAnsi"/>
        </w:rPr>
      </w:pPr>
      <w:r w:rsidRPr="00D14F52">
        <w:rPr>
          <w:rFonts w:asciiTheme="minorHAnsi" w:hAnsiTheme="minorHAnsi" w:cstheme="minorHAnsi"/>
          <w:b/>
          <w:bCs/>
          <w:color w:val="000000"/>
          <w:u w:val="single"/>
        </w:rPr>
        <w:t>Exclusion of the SLO1, SL02, SL03 &amp; SL04 areas from the Activity Centre’s “Walkable Catchment” boundary is critical to maintain their important ecological and community values.</w:t>
      </w:r>
    </w:p>
    <w:p w14:paraId="2B070FA2" w14:textId="52ABD517" w:rsidR="00F6618F" w:rsidRPr="00E747BC" w:rsidRDefault="00F6618F" w:rsidP="00015A39">
      <w:pPr>
        <w:pStyle w:val="NormalWeb"/>
        <w:spacing w:before="0" w:beforeAutospacing="0" w:after="0" w:afterAutospacing="0"/>
        <w:ind w:right="113"/>
        <w:jc w:val="both"/>
        <w:rPr>
          <w:rFonts w:asciiTheme="minorHAnsi" w:hAnsiTheme="minorHAnsi" w:cstheme="minorHAnsi"/>
          <w:i/>
          <w:sz w:val="18"/>
          <w:szCs w:val="18"/>
        </w:rPr>
      </w:pPr>
      <w:r w:rsidRPr="00E747BC">
        <w:rPr>
          <w:rFonts w:asciiTheme="minorHAnsi" w:hAnsiTheme="minorHAnsi" w:cstheme="minorHAnsi"/>
          <w:b/>
          <w:bCs/>
          <w:i/>
          <w:color w:val="000000"/>
          <w:sz w:val="18"/>
          <w:szCs w:val="18"/>
        </w:rPr>
        <w:t>*Native birds</w:t>
      </w:r>
      <w:r w:rsidRPr="00E747BC">
        <w:rPr>
          <w:rFonts w:asciiTheme="minorHAnsi" w:hAnsiTheme="minorHAnsi" w:cstheme="minorHAnsi"/>
          <w:i/>
          <w:color w:val="000000"/>
          <w:sz w:val="18"/>
          <w:szCs w:val="18"/>
        </w:rPr>
        <w:t xml:space="preserve"> – Tawny Frogmouths, Magpies, Kookaburras, Rainbow Lorikeets, King Parrots, Eastern Rosellas, Noisy</w:t>
      </w:r>
      <w:r>
        <w:rPr>
          <w:rFonts w:asciiTheme="minorHAnsi" w:hAnsiTheme="minorHAnsi" w:cstheme="minorHAnsi"/>
          <w:i/>
          <w:color w:val="000000"/>
          <w:sz w:val="18"/>
          <w:szCs w:val="18"/>
        </w:rPr>
        <w:t xml:space="preserve"> </w:t>
      </w:r>
      <w:r w:rsidR="009D47BD" w:rsidRPr="00E747BC">
        <w:rPr>
          <w:rFonts w:asciiTheme="minorHAnsi" w:hAnsiTheme="minorHAnsi" w:cstheme="minorHAnsi"/>
          <w:i/>
          <w:color w:val="000000"/>
          <w:sz w:val="18"/>
          <w:szCs w:val="18"/>
        </w:rPr>
        <w:t>Miners</w:t>
      </w:r>
      <w:r w:rsidRPr="00E747BC">
        <w:rPr>
          <w:rFonts w:asciiTheme="minorHAnsi" w:hAnsiTheme="minorHAnsi" w:cstheme="minorHAnsi"/>
          <w:i/>
          <w:color w:val="000000"/>
          <w:sz w:val="18"/>
          <w:szCs w:val="18"/>
        </w:rPr>
        <w:t>, Sulphur-crested Cockatoos, Currawongs, Gang Gang cockatoos, Yellow-tailed Black Cockatoos </w:t>
      </w:r>
    </w:p>
    <w:p w14:paraId="65037DAC" w14:textId="4CB59DC4" w:rsidR="008E6994" w:rsidRDefault="00F6618F" w:rsidP="00015A39">
      <w:pPr>
        <w:pStyle w:val="NormalWeb"/>
        <w:spacing w:before="0" w:beforeAutospacing="0" w:after="0" w:afterAutospacing="0"/>
        <w:ind w:right="113"/>
        <w:jc w:val="both"/>
        <w:rPr>
          <w:rFonts w:asciiTheme="minorHAnsi" w:hAnsiTheme="minorHAnsi" w:cstheme="minorHAnsi"/>
          <w:i/>
          <w:color w:val="000000"/>
          <w:sz w:val="18"/>
          <w:szCs w:val="18"/>
        </w:rPr>
      </w:pPr>
      <w:r w:rsidRPr="00E747BC">
        <w:rPr>
          <w:rFonts w:asciiTheme="minorHAnsi" w:hAnsiTheme="minorHAnsi" w:cstheme="minorHAnsi"/>
          <w:b/>
          <w:bCs/>
          <w:i/>
          <w:color w:val="000000"/>
          <w:sz w:val="18"/>
          <w:szCs w:val="18"/>
        </w:rPr>
        <w:t>**Native animals</w:t>
      </w:r>
      <w:r w:rsidRPr="00E747BC">
        <w:rPr>
          <w:rFonts w:asciiTheme="minorHAnsi" w:hAnsiTheme="minorHAnsi" w:cstheme="minorHAnsi"/>
          <w:i/>
          <w:color w:val="000000"/>
          <w:sz w:val="18"/>
          <w:szCs w:val="18"/>
        </w:rPr>
        <w:t xml:space="preserve"> – Ring-tailed possum, Brush-tailed possum, sugar gliders, lizards, native bees and other insects</w:t>
      </w:r>
    </w:p>
    <w:p w14:paraId="52D3213F" w14:textId="08AF590A" w:rsidR="00250FEB" w:rsidRDefault="00250FEB">
      <w:pPr>
        <w:rPr>
          <w:rFonts w:eastAsia="Times New Roman" w:cstheme="minorHAnsi"/>
          <w:i/>
          <w:color w:val="000000"/>
          <w:sz w:val="18"/>
          <w:szCs w:val="18"/>
          <w:lang w:eastAsia="zh-CN" w:bidi="th-TH"/>
        </w:rPr>
      </w:pPr>
      <w:r>
        <w:rPr>
          <w:rFonts w:cstheme="minorHAnsi"/>
          <w:i/>
          <w:color w:val="000000"/>
          <w:sz w:val="18"/>
          <w:szCs w:val="18"/>
        </w:rPr>
        <w:br w:type="page"/>
      </w:r>
    </w:p>
    <w:p w14:paraId="36B7BCA8" w14:textId="77777777" w:rsidR="00250FEB" w:rsidRPr="00CC5FAD" w:rsidRDefault="00250FEB" w:rsidP="00250FEB">
      <w:pPr>
        <w:rPr>
          <w:rFonts w:cstheme="minorHAnsi"/>
          <w:b/>
          <w:bCs/>
          <w:sz w:val="24"/>
          <w:szCs w:val="24"/>
          <w:u w:val="single"/>
        </w:rPr>
      </w:pPr>
      <w:r w:rsidRPr="00CC5FAD">
        <w:rPr>
          <w:rFonts w:cstheme="minorHAnsi"/>
          <w:b/>
          <w:bCs/>
          <w:sz w:val="24"/>
          <w:szCs w:val="24"/>
          <w:u w:val="single"/>
        </w:rPr>
        <w:t>ATTACHMENT 1 - Suggested Addresses to send Submissions to regarding Activity Centre Feedback</w:t>
      </w:r>
    </w:p>
    <w:p w14:paraId="41CD5112" w14:textId="77777777" w:rsidR="00250FEB" w:rsidRPr="00DE06AE" w:rsidRDefault="00250FEB" w:rsidP="00250FEB">
      <w:pPr>
        <w:rPr>
          <w:rFonts w:cstheme="minorHAnsi"/>
          <w:b/>
          <w:sz w:val="24"/>
          <w:szCs w:val="24"/>
        </w:rPr>
      </w:pPr>
      <w:r w:rsidRPr="00DE06AE">
        <w:rPr>
          <w:rFonts w:cstheme="minorHAnsi"/>
          <w:b/>
          <w:sz w:val="24"/>
          <w:szCs w:val="24"/>
        </w:rPr>
        <w:t>Please Email your submission direct to: activity.centres@transport.vic.gov.au</w:t>
      </w:r>
    </w:p>
    <w:p w14:paraId="7CAC09C9" w14:textId="77777777" w:rsidR="00250FEB" w:rsidRPr="00DE06AE" w:rsidRDefault="00250FEB" w:rsidP="00250FEB">
      <w:pPr>
        <w:jc w:val="both"/>
        <w:rPr>
          <w:rFonts w:cstheme="minorHAnsi"/>
          <w:sz w:val="24"/>
          <w:szCs w:val="24"/>
        </w:rPr>
      </w:pPr>
      <w:r w:rsidRPr="00DE06AE">
        <w:rPr>
          <w:rFonts w:cstheme="minorHAnsi"/>
          <w:sz w:val="24"/>
          <w:szCs w:val="24"/>
        </w:rPr>
        <w:t>Please email the Planning Minister, Hon Sonya Kilkenny along with following list of MPs from all sides of politics</w:t>
      </w:r>
      <w:r>
        <w:rPr>
          <w:rFonts w:cstheme="minorHAnsi"/>
          <w:sz w:val="24"/>
          <w:szCs w:val="24"/>
        </w:rPr>
        <w:t>, including relevant Commonwealth contacts</w:t>
      </w:r>
      <w:r w:rsidRPr="00DE06AE">
        <w:rPr>
          <w:rFonts w:cstheme="minorHAnsi"/>
          <w:sz w:val="24"/>
          <w:szCs w:val="24"/>
        </w:rPr>
        <w:t>. Some salient points you may wish to include are provided overleaf but please put into you own words, so the concerns are treated as genuine. You may choose just a couple of points you wish to make, or you may want to express more. You do not have to pick up on all points.</w:t>
      </w:r>
    </w:p>
    <w:tbl>
      <w:tblPr>
        <w:tblStyle w:val="TableGrid"/>
        <w:tblW w:w="10173" w:type="dxa"/>
        <w:jc w:val="center"/>
        <w:tblLook w:val="04A0" w:firstRow="1" w:lastRow="0" w:firstColumn="1" w:lastColumn="0" w:noHBand="0" w:noVBand="1"/>
      </w:tblPr>
      <w:tblGrid>
        <w:gridCol w:w="2496"/>
        <w:gridCol w:w="3745"/>
        <w:gridCol w:w="3932"/>
      </w:tblGrid>
      <w:tr w:rsidR="00250FEB" w:rsidRPr="00DE06AE" w14:paraId="2892758A" w14:textId="77777777" w:rsidTr="00495520">
        <w:trPr>
          <w:trHeight w:val="397"/>
          <w:jc w:val="center"/>
        </w:trPr>
        <w:tc>
          <w:tcPr>
            <w:tcW w:w="2518" w:type="dxa"/>
            <w:vAlign w:val="center"/>
          </w:tcPr>
          <w:p w14:paraId="6F005396" w14:textId="77777777" w:rsidR="00250FEB" w:rsidRPr="00DE06AE" w:rsidRDefault="00250FEB" w:rsidP="00495520">
            <w:pPr>
              <w:jc w:val="center"/>
              <w:rPr>
                <w:rFonts w:cstheme="minorHAnsi"/>
                <w:b/>
                <w:bCs/>
                <w:sz w:val="24"/>
                <w:szCs w:val="24"/>
              </w:rPr>
            </w:pPr>
            <w:r w:rsidRPr="00DE06AE">
              <w:rPr>
                <w:rFonts w:cstheme="minorHAnsi"/>
                <w:b/>
                <w:bCs/>
                <w:sz w:val="24"/>
                <w:szCs w:val="24"/>
              </w:rPr>
              <w:t>Name</w:t>
            </w:r>
          </w:p>
        </w:tc>
        <w:tc>
          <w:tcPr>
            <w:tcW w:w="3789" w:type="dxa"/>
            <w:vAlign w:val="center"/>
          </w:tcPr>
          <w:p w14:paraId="7A938D29" w14:textId="77777777" w:rsidR="00250FEB" w:rsidRPr="00DE06AE" w:rsidRDefault="00250FEB" w:rsidP="00495520">
            <w:pPr>
              <w:jc w:val="center"/>
              <w:rPr>
                <w:rFonts w:cstheme="minorHAnsi"/>
                <w:b/>
                <w:bCs/>
                <w:sz w:val="24"/>
                <w:szCs w:val="24"/>
              </w:rPr>
            </w:pPr>
            <w:r w:rsidRPr="00DE06AE">
              <w:rPr>
                <w:rFonts w:cstheme="minorHAnsi"/>
                <w:b/>
                <w:bCs/>
                <w:sz w:val="24"/>
                <w:szCs w:val="24"/>
              </w:rPr>
              <w:t>Title</w:t>
            </w:r>
          </w:p>
        </w:tc>
        <w:tc>
          <w:tcPr>
            <w:tcW w:w="3866" w:type="dxa"/>
            <w:vAlign w:val="center"/>
          </w:tcPr>
          <w:p w14:paraId="099B5EDA" w14:textId="77777777" w:rsidR="00250FEB" w:rsidRPr="00DE06AE" w:rsidRDefault="00250FEB" w:rsidP="00495520">
            <w:pPr>
              <w:jc w:val="center"/>
              <w:rPr>
                <w:rFonts w:cstheme="minorHAnsi"/>
                <w:b/>
                <w:bCs/>
                <w:sz w:val="24"/>
                <w:szCs w:val="24"/>
              </w:rPr>
            </w:pPr>
            <w:r w:rsidRPr="00DE06AE">
              <w:rPr>
                <w:rFonts w:cstheme="minorHAnsi"/>
                <w:b/>
                <w:bCs/>
                <w:sz w:val="24"/>
                <w:szCs w:val="24"/>
              </w:rPr>
              <w:t>Email</w:t>
            </w:r>
          </w:p>
        </w:tc>
      </w:tr>
      <w:tr w:rsidR="00250FEB" w:rsidRPr="00DD6392" w14:paraId="3EA64D23" w14:textId="77777777" w:rsidTr="00495520">
        <w:trPr>
          <w:trHeight w:val="397"/>
          <w:jc w:val="center"/>
        </w:trPr>
        <w:tc>
          <w:tcPr>
            <w:tcW w:w="2518" w:type="dxa"/>
            <w:vAlign w:val="center"/>
          </w:tcPr>
          <w:p w14:paraId="15B3E648" w14:textId="77777777" w:rsidR="00250FEB" w:rsidRPr="00DD6392" w:rsidRDefault="00250FEB" w:rsidP="00495520">
            <w:pPr>
              <w:rPr>
                <w:rFonts w:cstheme="minorHAnsi"/>
              </w:rPr>
            </w:pPr>
            <w:r w:rsidRPr="00DD6392">
              <w:rPr>
                <w:rFonts w:cstheme="minorHAnsi"/>
              </w:rPr>
              <w:t>Hon Sonya Kilkenny MP</w:t>
            </w:r>
          </w:p>
        </w:tc>
        <w:tc>
          <w:tcPr>
            <w:tcW w:w="3789" w:type="dxa"/>
            <w:vAlign w:val="center"/>
          </w:tcPr>
          <w:p w14:paraId="31962602" w14:textId="77777777" w:rsidR="00250FEB" w:rsidRPr="00DD6392" w:rsidRDefault="00250FEB" w:rsidP="00495520">
            <w:pPr>
              <w:rPr>
                <w:rFonts w:cstheme="minorHAnsi"/>
              </w:rPr>
            </w:pPr>
            <w:r w:rsidRPr="00DD6392">
              <w:rPr>
                <w:rFonts w:cstheme="minorHAnsi"/>
              </w:rPr>
              <w:t xml:space="preserve">Minister for Planning, </w:t>
            </w:r>
          </w:p>
          <w:p w14:paraId="683CEA00" w14:textId="77777777" w:rsidR="00250FEB" w:rsidRPr="00DD6392" w:rsidRDefault="00250FEB" w:rsidP="00495520">
            <w:pPr>
              <w:rPr>
                <w:rFonts w:cstheme="minorHAnsi"/>
              </w:rPr>
            </w:pPr>
            <w:r w:rsidRPr="00DD6392">
              <w:rPr>
                <w:rFonts w:cstheme="minorHAnsi"/>
              </w:rPr>
              <w:t>Attorney-General</w:t>
            </w:r>
          </w:p>
        </w:tc>
        <w:tc>
          <w:tcPr>
            <w:tcW w:w="3866" w:type="dxa"/>
            <w:vAlign w:val="center"/>
          </w:tcPr>
          <w:p w14:paraId="03E9E296" w14:textId="77777777" w:rsidR="00250FEB" w:rsidRPr="00DD6392" w:rsidRDefault="00250FEB" w:rsidP="00495520">
            <w:pPr>
              <w:rPr>
                <w:rFonts w:cstheme="minorHAnsi"/>
              </w:rPr>
            </w:pPr>
            <w:hyperlink r:id="rId8" w:history="1">
              <w:r w:rsidRPr="00DD6392">
                <w:rPr>
                  <w:rStyle w:val="Hyperlink"/>
                  <w:rFonts w:cstheme="minorHAnsi"/>
                </w:rPr>
                <w:t>sonya.kilkenny@parliament</w:t>
              </w:r>
            </w:hyperlink>
            <w:r w:rsidRPr="00DD6392">
              <w:rPr>
                <w:rFonts w:cstheme="minorHAnsi"/>
              </w:rPr>
              <w:t>.vic.gov.au</w:t>
            </w:r>
          </w:p>
        </w:tc>
      </w:tr>
      <w:tr w:rsidR="00250FEB" w:rsidRPr="00DD6392" w14:paraId="14F95A20" w14:textId="77777777" w:rsidTr="00495520">
        <w:trPr>
          <w:trHeight w:val="397"/>
          <w:jc w:val="center"/>
        </w:trPr>
        <w:tc>
          <w:tcPr>
            <w:tcW w:w="2518" w:type="dxa"/>
            <w:vAlign w:val="center"/>
          </w:tcPr>
          <w:p w14:paraId="0CEA1DD8" w14:textId="77777777" w:rsidR="00250FEB" w:rsidRPr="00DD6392" w:rsidRDefault="00250FEB" w:rsidP="00495520">
            <w:pPr>
              <w:rPr>
                <w:rFonts w:cstheme="minorHAnsi"/>
              </w:rPr>
            </w:pPr>
            <w:r w:rsidRPr="00DD6392">
              <w:rPr>
                <w:rFonts w:cstheme="minorHAnsi"/>
              </w:rPr>
              <w:t xml:space="preserve">Ms Harriet Shing </w:t>
            </w:r>
          </w:p>
        </w:tc>
        <w:tc>
          <w:tcPr>
            <w:tcW w:w="3789" w:type="dxa"/>
            <w:vAlign w:val="center"/>
          </w:tcPr>
          <w:p w14:paraId="0C87B10D" w14:textId="77777777" w:rsidR="00250FEB" w:rsidRPr="00DD6392" w:rsidRDefault="00250FEB" w:rsidP="00495520">
            <w:pPr>
              <w:rPr>
                <w:rFonts w:cstheme="minorHAnsi"/>
              </w:rPr>
            </w:pPr>
            <w:r w:rsidRPr="00DD6392">
              <w:rPr>
                <w:rFonts w:cstheme="minorHAnsi"/>
              </w:rPr>
              <w:t>Minister for Suburban Rail Loop</w:t>
            </w:r>
          </w:p>
          <w:p w14:paraId="4CA0016F" w14:textId="77777777" w:rsidR="00250FEB" w:rsidRPr="00DD6392" w:rsidRDefault="00250FEB" w:rsidP="00495520">
            <w:pPr>
              <w:rPr>
                <w:rFonts w:cstheme="minorHAnsi"/>
              </w:rPr>
            </w:pPr>
            <w:r w:rsidRPr="00DD6392">
              <w:rPr>
                <w:rFonts w:cstheme="minorHAnsi"/>
              </w:rPr>
              <w:t>Minister for Housing &amp; Building</w:t>
            </w:r>
          </w:p>
          <w:p w14:paraId="3163E4A1" w14:textId="77777777" w:rsidR="00250FEB" w:rsidRPr="00DD6392" w:rsidRDefault="00250FEB" w:rsidP="00495520">
            <w:pPr>
              <w:rPr>
                <w:rFonts w:cstheme="minorHAnsi"/>
              </w:rPr>
            </w:pPr>
            <w:r w:rsidRPr="00DD6392">
              <w:rPr>
                <w:rFonts w:cstheme="minorHAnsi"/>
              </w:rPr>
              <w:t>…and more</w:t>
            </w:r>
          </w:p>
        </w:tc>
        <w:tc>
          <w:tcPr>
            <w:tcW w:w="3866" w:type="dxa"/>
            <w:vAlign w:val="center"/>
          </w:tcPr>
          <w:p w14:paraId="6046BE24" w14:textId="77777777" w:rsidR="00250FEB" w:rsidRPr="00DD6392" w:rsidRDefault="00250FEB" w:rsidP="00495520">
            <w:pPr>
              <w:rPr>
                <w:rFonts w:cstheme="minorHAnsi"/>
              </w:rPr>
            </w:pPr>
            <w:r w:rsidRPr="00DD6392">
              <w:rPr>
                <w:rFonts w:cstheme="minorHAnsi"/>
              </w:rPr>
              <w:t>harriet.shing@parliament.vic.gov.au</w:t>
            </w:r>
          </w:p>
        </w:tc>
      </w:tr>
      <w:tr w:rsidR="00250FEB" w:rsidRPr="00DD6392" w14:paraId="793E34FA" w14:textId="77777777" w:rsidTr="00495520">
        <w:trPr>
          <w:trHeight w:val="397"/>
          <w:jc w:val="center"/>
        </w:trPr>
        <w:tc>
          <w:tcPr>
            <w:tcW w:w="2518" w:type="dxa"/>
            <w:vAlign w:val="center"/>
          </w:tcPr>
          <w:p w14:paraId="3D033872" w14:textId="77777777" w:rsidR="00250FEB" w:rsidRPr="00DD6392" w:rsidRDefault="00250FEB" w:rsidP="00495520">
            <w:pPr>
              <w:rPr>
                <w:rFonts w:cstheme="minorHAnsi"/>
              </w:rPr>
            </w:pPr>
            <w:r w:rsidRPr="00DD6392">
              <w:rPr>
                <w:rFonts w:cstheme="minorHAnsi"/>
              </w:rPr>
              <w:t>Hon Jacinta Allan MP</w:t>
            </w:r>
          </w:p>
        </w:tc>
        <w:tc>
          <w:tcPr>
            <w:tcW w:w="3789" w:type="dxa"/>
            <w:vAlign w:val="center"/>
          </w:tcPr>
          <w:p w14:paraId="3F993772" w14:textId="77777777" w:rsidR="00250FEB" w:rsidRPr="00DD6392" w:rsidRDefault="00250FEB" w:rsidP="00495520">
            <w:pPr>
              <w:rPr>
                <w:rFonts w:cstheme="minorHAnsi"/>
              </w:rPr>
            </w:pPr>
            <w:r w:rsidRPr="00DD6392">
              <w:rPr>
                <w:rFonts w:cstheme="minorHAnsi"/>
              </w:rPr>
              <w:t>Premier of Victoria</w:t>
            </w:r>
          </w:p>
        </w:tc>
        <w:tc>
          <w:tcPr>
            <w:tcW w:w="3866" w:type="dxa"/>
            <w:vAlign w:val="center"/>
          </w:tcPr>
          <w:p w14:paraId="73F0D592" w14:textId="77777777" w:rsidR="00250FEB" w:rsidRPr="00DD6392" w:rsidRDefault="00250FEB" w:rsidP="00495520">
            <w:pPr>
              <w:rPr>
                <w:rFonts w:cstheme="minorHAnsi"/>
              </w:rPr>
            </w:pPr>
            <w:r w:rsidRPr="00DD6392">
              <w:rPr>
                <w:rFonts w:cstheme="minorHAnsi"/>
              </w:rPr>
              <w:t>jacinta.allan@parliament.vic.gov.au</w:t>
            </w:r>
          </w:p>
        </w:tc>
      </w:tr>
      <w:tr w:rsidR="00250FEB" w:rsidRPr="00DD6392" w14:paraId="3F39774D" w14:textId="77777777" w:rsidTr="00495520">
        <w:trPr>
          <w:trHeight w:val="397"/>
          <w:jc w:val="center"/>
        </w:trPr>
        <w:tc>
          <w:tcPr>
            <w:tcW w:w="2518" w:type="dxa"/>
            <w:vAlign w:val="center"/>
          </w:tcPr>
          <w:p w14:paraId="62834D3C" w14:textId="77777777" w:rsidR="00250FEB" w:rsidRPr="00DD6392" w:rsidRDefault="00250FEB" w:rsidP="00495520">
            <w:pPr>
              <w:rPr>
                <w:rFonts w:cstheme="minorHAnsi"/>
              </w:rPr>
            </w:pPr>
            <w:r w:rsidRPr="00DD6392">
              <w:rPr>
                <w:rFonts w:cstheme="minorHAnsi"/>
              </w:rPr>
              <w:t>Hon Lily D’Ambrosio MP</w:t>
            </w:r>
          </w:p>
        </w:tc>
        <w:tc>
          <w:tcPr>
            <w:tcW w:w="3789" w:type="dxa"/>
            <w:vAlign w:val="center"/>
          </w:tcPr>
          <w:p w14:paraId="6236DEB8" w14:textId="77777777" w:rsidR="00250FEB" w:rsidRPr="00DD6392" w:rsidRDefault="00250FEB" w:rsidP="00495520">
            <w:pPr>
              <w:rPr>
                <w:rFonts w:cstheme="minorHAnsi"/>
              </w:rPr>
            </w:pPr>
            <w:r w:rsidRPr="00DD6392">
              <w:rPr>
                <w:rFonts w:cstheme="minorHAnsi"/>
              </w:rPr>
              <w:t xml:space="preserve">Minister for Climate Action </w:t>
            </w:r>
            <w:r>
              <w:rPr>
                <w:rFonts w:cstheme="minorHAnsi"/>
              </w:rPr>
              <w:br/>
            </w:r>
            <w:r w:rsidRPr="00DD6392">
              <w:rPr>
                <w:rFonts w:cstheme="minorHAnsi"/>
              </w:rPr>
              <w:t>….and more</w:t>
            </w:r>
          </w:p>
        </w:tc>
        <w:tc>
          <w:tcPr>
            <w:tcW w:w="3866" w:type="dxa"/>
            <w:vAlign w:val="center"/>
          </w:tcPr>
          <w:p w14:paraId="6E0B3692" w14:textId="77777777" w:rsidR="00250FEB" w:rsidRPr="00DD6392" w:rsidRDefault="00250FEB" w:rsidP="00495520">
            <w:pPr>
              <w:rPr>
                <w:rFonts w:cstheme="minorHAnsi"/>
              </w:rPr>
            </w:pPr>
            <w:r w:rsidRPr="00DD6392">
              <w:rPr>
                <w:rFonts w:cstheme="minorHAnsi"/>
              </w:rPr>
              <w:t>lily.dambrosio@parliament.vic.gov.au</w:t>
            </w:r>
          </w:p>
        </w:tc>
      </w:tr>
      <w:tr w:rsidR="00250FEB" w:rsidRPr="00DD6392" w14:paraId="65756CB0" w14:textId="77777777" w:rsidTr="00495520">
        <w:trPr>
          <w:trHeight w:val="397"/>
          <w:jc w:val="center"/>
        </w:trPr>
        <w:tc>
          <w:tcPr>
            <w:tcW w:w="2518" w:type="dxa"/>
            <w:vAlign w:val="center"/>
          </w:tcPr>
          <w:p w14:paraId="1AA28CFB" w14:textId="77777777" w:rsidR="00250FEB" w:rsidRPr="00DD6392" w:rsidRDefault="00250FEB" w:rsidP="00495520">
            <w:pPr>
              <w:rPr>
                <w:rFonts w:cstheme="minorHAnsi"/>
              </w:rPr>
            </w:pPr>
            <w:r w:rsidRPr="00DD6392">
              <w:rPr>
                <w:rFonts w:cstheme="minorHAnsi"/>
              </w:rPr>
              <w:t>Hon Steve Dimopoulos MP</w:t>
            </w:r>
          </w:p>
        </w:tc>
        <w:tc>
          <w:tcPr>
            <w:tcW w:w="3789" w:type="dxa"/>
            <w:vAlign w:val="center"/>
          </w:tcPr>
          <w:p w14:paraId="69074203" w14:textId="77777777" w:rsidR="00250FEB" w:rsidRPr="00DD6392" w:rsidRDefault="00250FEB" w:rsidP="00495520">
            <w:pPr>
              <w:rPr>
                <w:rFonts w:cstheme="minorHAnsi"/>
              </w:rPr>
            </w:pPr>
            <w:r w:rsidRPr="00DD6392">
              <w:rPr>
                <w:rFonts w:cstheme="minorHAnsi"/>
              </w:rPr>
              <w:t xml:space="preserve">Minister for Environment </w:t>
            </w:r>
          </w:p>
          <w:p w14:paraId="567C5C35" w14:textId="77777777" w:rsidR="00250FEB" w:rsidRPr="00DD6392" w:rsidRDefault="00250FEB" w:rsidP="00495520">
            <w:pPr>
              <w:rPr>
                <w:rFonts w:cstheme="minorHAnsi"/>
              </w:rPr>
            </w:pPr>
            <w:proofErr w:type="gramStart"/>
            <w:r w:rsidRPr="00DD6392">
              <w:rPr>
                <w:rFonts w:cstheme="minorHAnsi"/>
              </w:rPr>
              <w:t>…..</w:t>
            </w:r>
            <w:proofErr w:type="gramEnd"/>
            <w:r w:rsidRPr="00DD6392">
              <w:rPr>
                <w:rFonts w:cstheme="minorHAnsi"/>
              </w:rPr>
              <w:t>and more</w:t>
            </w:r>
          </w:p>
        </w:tc>
        <w:tc>
          <w:tcPr>
            <w:tcW w:w="3866" w:type="dxa"/>
            <w:vAlign w:val="center"/>
          </w:tcPr>
          <w:p w14:paraId="7BEA4567" w14:textId="77777777" w:rsidR="00250FEB" w:rsidRPr="00DD6392" w:rsidRDefault="00250FEB" w:rsidP="00495520">
            <w:pPr>
              <w:rPr>
                <w:rFonts w:cstheme="minorHAnsi"/>
              </w:rPr>
            </w:pPr>
            <w:hyperlink r:id="rId9" w:history="1">
              <w:r w:rsidRPr="00DD6392">
                <w:rPr>
                  <w:rStyle w:val="Hyperlink"/>
                  <w:rFonts w:cstheme="minorHAnsi"/>
                </w:rPr>
                <w:t>steve.dimopoulos@parliament</w:t>
              </w:r>
            </w:hyperlink>
            <w:r w:rsidRPr="00DD6392">
              <w:rPr>
                <w:rFonts w:cstheme="minorHAnsi"/>
              </w:rPr>
              <w:t>.vic.gov.au</w:t>
            </w:r>
          </w:p>
        </w:tc>
      </w:tr>
      <w:tr w:rsidR="00250FEB" w:rsidRPr="00DD6392" w14:paraId="2D0A1E76" w14:textId="77777777" w:rsidTr="00495520">
        <w:trPr>
          <w:trHeight w:val="397"/>
          <w:jc w:val="center"/>
        </w:trPr>
        <w:tc>
          <w:tcPr>
            <w:tcW w:w="2518" w:type="dxa"/>
            <w:vAlign w:val="center"/>
          </w:tcPr>
          <w:p w14:paraId="64D787E8" w14:textId="77777777" w:rsidR="00250FEB" w:rsidRPr="00DD6392" w:rsidRDefault="00250FEB" w:rsidP="00495520">
            <w:pPr>
              <w:rPr>
                <w:rFonts w:cstheme="minorHAnsi"/>
              </w:rPr>
            </w:pPr>
            <w:r w:rsidRPr="00DD6392">
              <w:rPr>
                <w:rFonts w:cstheme="minorHAnsi"/>
              </w:rPr>
              <w:t>Hon Nick Staikos MP</w:t>
            </w:r>
          </w:p>
        </w:tc>
        <w:tc>
          <w:tcPr>
            <w:tcW w:w="3789" w:type="dxa"/>
            <w:vAlign w:val="center"/>
          </w:tcPr>
          <w:p w14:paraId="3B85C5AB" w14:textId="77777777" w:rsidR="00250FEB" w:rsidRPr="00DD6392" w:rsidRDefault="00250FEB" w:rsidP="00495520">
            <w:pPr>
              <w:rPr>
                <w:rFonts w:cstheme="minorHAnsi"/>
              </w:rPr>
            </w:pPr>
            <w:r w:rsidRPr="00DD6392">
              <w:rPr>
                <w:rFonts w:cstheme="minorHAnsi"/>
              </w:rPr>
              <w:t xml:space="preserve">Minister for Local Government, </w:t>
            </w:r>
          </w:p>
          <w:p w14:paraId="15FD0AAA" w14:textId="77777777" w:rsidR="00250FEB" w:rsidRPr="00DD6392" w:rsidRDefault="00250FEB" w:rsidP="00495520">
            <w:pPr>
              <w:rPr>
                <w:rFonts w:cstheme="minorHAnsi"/>
              </w:rPr>
            </w:pPr>
            <w:r w:rsidRPr="00DD6392">
              <w:rPr>
                <w:rFonts w:cstheme="minorHAnsi"/>
              </w:rPr>
              <w:t>Minister for Consumer Affairs</w:t>
            </w:r>
          </w:p>
        </w:tc>
        <w:tc>
          <w:tcPr>
            <w:tcW w:w="3866" w:type="dxa"/>
            <w:vAlign w:val="center"/>
          </w:tcPr>
          <w:p w14:paraId="278ED18F" w14:textId="77777777" w:rsidR="00250FEB" w:rsidRPr="00DD6392" w:rsidRDefault="00250FEB" w:rsidP="00495520">
            <w:pPr>
              <w:rPr>
                <w:rFonts w:cstheme="minorHAnsi"/>
              </w:rPr>
            </w:pPr>
            <w:r w:rsidRPr="00DD6392">
              <w:rPr>
                <w:rFonts w:cstheme="minorHAnsi"/>
              </w:rPr>
              <w:t>Nick.staikos@parliament.vic.gov.au</w:t>
            </w:r>
          </w:p>
        </w:tc>
      </w:tr>
      <w:tr w:rsidR="00250FEB" w:rsidRPr="00DD6392" w14:paraId="37EED986" w14:textId="77777777" w:rsidTr="00495520">
        <w:trPr>
          <w:trHeight w:val="397"/>
          <w:jc w:val="center"/>
        </w:trPr>
        <w:tc>
          <w:tcPr>
            <w:tcW w:w="2518" w:type="dxa"/>
            <w:vAlign w:val="center"/>
          </w:tcPr>
          <w:p w14:paraId="783F6197" w14:textId="77777777" w:rsidR="00250FEB" w:rsidRPr="00DD6392" w:rsidRDefault="00250FEB" w:rsidP="00495520">
            <w:pPr>
              <w:rPr>
                <w:rFonts w:cstheme="minorHAnsi"/>
              </w:rPr>
            </w:pPr>
            <w:r w:rsidRPr="00DD6392">
              <w:rPr>
                <w:rFonts w:cstheme="minorHAnsi"/>
              </w:rPr>
              <w:t>Mr Paul Hamer MP</w:t>
            </w:r>
          </w:p>
        </w:tc>
        <w:tc>
          <w:tcPr>
            <w:tcW w:w="3789" w:type="dxa"/>
            <w:vAlign w:val="center"/>
          </w:tcPr>
          <w:p w14:paraId="328FDE0F" w14:textId="77777777" w:rsidR="00250FEB" w:rsidRPr="00DD6392" w:rsidRDefault="00250FEB" w:rsidP="00495520">
            <w:pPr>
              <w:rPr>
                <w:rFonts w:cstheme="minorHAnsi"/>
              </w:rPr>
            </w:pPr>
            <w:r w:rsidRPr="00DD6392">
              <w:rPr>
                <w:rFonts w:cstheme="minorHAnsi"/>
              </w:rPr>
              <w:t>MP for Box Hill</w:t>
            </w:r>
          </w:p>
        </w:tc>
        <w:tc>
          <w:tcPr>
            <w:tcW w:w="3866" w:type="dxa"/>
            <w:vAlign w:val="center"/>
          </w:tcPr>
          <w:p w14:paraId="5446B732" w14:textId="77777777" w:rsidR="00250FEB" w:rsidRPr="00DD6392" w:rsidRDefault="00250FEB" w:rsidP="00495520">
            <w:pPr>
              <w:rPr>
                <w:rFonts w:cstheme="minorHAnsi"/>
              </w:rPr>
            </w:pPr>
            <w:r w:rsidRPr="00DD6392">
              <w:rPr>
                <w:rFonts w:cstheme="minorHAnsi"/>
              </w:rPr>
              <w:t>paul.hamer@parliament.vic.gov.au</w:t>
            </w:r>
          </w:p>
        </w:tc>
      </w:tr>
      <w:tr w:rsidR="00250FEB" w:rsidRPr="00DD6392" w14:paraId="1A7D2AB2" w14:textId="77777777" w:rsidTr="00495520">
        <w:trPr>
          <w:trHeight w:val="397"/>
          <w:jc w:val="center"/>
        </w:trPr>
        <w:tc>
          <w:tcPr>
            <w:tcW w:w="2518" w:type="dxa"/>
            <w:vAlign w:val="center"/>
          </w:tcPr>
          <w:p w14:paraId="611BB3C8" w14:textId="77777777" w:rsidR="00250FEB" w:rsidRPr="00DD6392" w:rsidRDefault="00250FEB" w:rsidP="00495520">
            <w:pPr>
              <w:rPr>
                <w:rFonts w:cstheme="minorHAnsi"/>
              </w:rPr>
            </w:pPr>
            <w:r w:rsidRPr="00DD6392">
              <w:rPr>
                <w:rFonts w:cstheme="minorHAnsi"/>
              </w:rPr>
              <w:t>Mr Shaun Leane MLC</w:t>
            </w:r>
          </w:p>
        </w:tc>
        <w:tc>
          <w:tcPr>
            <w:tcW w:w="3789" w:type="dxa"/>
            <w:vAlign w:val="center"/>
          </w:tcPr>
          <w:p w14:paraId="7ECCF225" w14:textId="77777777" w:rsidR="00250FEB" w:rsidRPr="00DD6392" w:rsidRDefault="00250FEB" w:rsidP="00495520">
            <w:pPr>
              <w:rPr>
                <w:rFonts w:cstheme="minorHAnsi"/>
              </w:rPr>
            </w:pPr>
            <w:r w:rsidRPr="00DD6392">
              <w:rPr>
                <w:rFonts w:cstheme="minorHAnsi"/>
              </w:rPr>
              <w:t xml:space="preserve">MP for </w:t>
            </w:r>
            <w:proofErr w:type="gramStart"/>
            <w:r w:rsidRPr="00DD6392">
              <w:rPr>
                <w:rFonts w:cstheme="minorHAnsi"/>
              </w:rPr>
              <w:t>North Eastern</w:t>
            </w:r>
            <w:proofErr w:type="gramEnd"/>
            <w:r w:rsidRPr="00DD6392">
              <w:rPr>
                <w:rFonts w:cstheme="minorHAnsi"/>
              </w:rPr>
              <w:t xml:space="preserve"> Metro Region</w:t>
            </w:r>
          </w:p>
        </w:tc>
        <w:tc>
          <w:tcPr>
            <w:tcW w:w="3866" w:type="dxa"/>
            <w:vAlign w:val="center"/>
          </w:tcPr>
          <w:p w14:paraId="17726443" w14:textId="77777777" w:rsidR="00250FEB" w:rsidRPr="00DD6392" w:rsidRDefault="00250FEB" w:rsidP="00495520">
            <w:pPr>
              <w:rPr>
                <w:rFonts w:cstheme="minorHAnsi"/>
              </w:rPr>
            </w:pPr>
            <w:r w:rsidRPr="00DD6392">
              <w:rPr>
                <w:rFonts w:cstheme="minorHAnsi"/>
              </w:rPr>
              <w:t>shaun.leane@parliament.vic.gov.au</w:t>
            </w:r>
          </w:p>
        </w:tc>
      </w:tr>
      <w:tr w:rsidR="00250FEB" w:rsidRPr="00DD6392" w14:paraId="65D23FD5" w14:textId="77777777" w:rsidTr="00495520">
        <w:trPr>
          <w:trHeight w:val="397"/>
          <w:jc w:val="center"/>
        </w:trPr>
        <w:tc>
          <w:tcPr>
            <w:tcW w:w="2518" w:type="dxa"/>
            <w:vAlign w:val="center"/>
          </w:tcPr>
          <w:p w14:paraId="4EDBA5A9" w14:textId="77777777" w:rsidR="00250FEB" w:rsidRPr="00DD6392" w:rsidRDefault="00250FEB" w:rsidP="00495520">
            <w:pPr>
              <w:rPr>
                <w:rFonts w:cstheme="minorHAnsi"/>
              </w:rPr>
            </w:pPr>
            <w:r w:rsidRPr="00DD6392">
              <w:rPr>
                <w:rFonts w:cstheme="minorHAnsi"/>
              </w:rPr>
              <w:t>Ms Sonja Terpstra MLC</w:t>
            </w:r>
          </w:p>
        </w:tc>
        <w:tc>
          <w:tcPr>
            <w:tcW w:w="3789" w:type="dxa"/>
            <w:vAlign w:val="center"/>
          </w:tcPr>
          <w:p w14:paraId="5B6F2AAC" w14:textId="77777777" w:rsidR="00250FEB" w:rsidRPr="00DD6392" w:rsidRDefault="00250FEB" w:rsidP="00495520">
            <w:pPr>
              <w:rPr>
                <w:rFonts w:cstheme="minorHAnsi"/>
              </w:rPr>
            </w:pPr>
            <w:r w:rsidRPr="00DD6392">
              <w:rPr>
                <w:rFonts w:cstheme="minorHAnsi"/>
              </w:rPr>
              <w:t xml:space="preserve">MP for </w:t>
            </w:r>
            <w:proofErr w:type="gramStart"/>
            <w:r w:rsidRPr="00DD6392">
              <w:rPr>
                <w:rFonts w:cstheme="minorHAnsi"/>
              </w:rPr>
              <w:t>North Eastern</w:t>
            </w:r>
            <w:proofErr w:type="gramEnd"/>
            <w:r w:rsidRPr="00DD6392">
              <w:rPr>
                <w:rFonts w:cstheme="minorHAnsi"/>
              </w:rPr>
              <w:t xml:space="preserve"> Metro Region</w:t>
            </w:r>
          </w:p>
        </w:tc>
        <w:tc>
          <w:tcPr>
            <w:tcW w:w="3866" w:type="dxa"/>
            <w:vAlign w:val="center"/>
          </w:tcPr>
          <w:p w14:paraId="52C4E000" w14:textId="77777777" w:rsidR="00250FEB" w:rsidRPr="00DD6392" w:rsidRDefault="00250FEB" w:rsidP="00495520">
            <w:pPr>
              <w:rPr>
                <w:rFonts w:cstheme="minorHAnsi"/>
              </w:rPr>
            </w:pPr>
            <w:r w:rsidRPr="00DD6392">
              <w:rPr>
                <w:rFonts w:cstheme="minorHAnsi"/>
              </w:rPr>
              <w:t>Sonja.terpstra@parliament.vic.gov.au</w:t>
            </w:r>
          </w:p>
        </w:tc>
      </w:tr>
      <w:tr w:rsidR="00250FEB" w:rsidRPr="00DD6392" w14:paraId="36DE55BF" w14:textId="77777777" w:rsidTr="00495520">
        <w:trPr>
          <w:trHeight w:val="397"/>
          <w:jc w:val="center"/>
        </w:trPr>
        <w:tc>
          <w:tcPr>
            <w:tcW w:w="2518" w:type="dxa"/>
            <w:vAlign w:val="center"/>
          </w:tcPr>
          <w:p w14:paraId="4DE7B46E" w14:textId="77777777" w:rsidR="00250FEB" w:rsidRPr="00DD6392" w:rsidRDefault="00250FEB" w:rsidP="00495520">
            <w:pPr>
              <w:rPr>
                <w:rFonts w:cstheme="minorHAnsi"/>
              </w:rPr>
            </w:pPr>
            <w:r w:rsidRPr="00DD6392">
              <w:rPr>
                <w:rFonts w:cstheme="minorHAnsi"/>
              </w:rPr>
              <w:t>Mr John Mullahy MP</w:t>
            </w:r>
          </w:p>
        </w:tc>
        <w:tc>
          <w:tcPr>
            <w:tcW w:w="3789" w:type="dxa"/>
            <w:vAlign w:val="center"/>
          </w:tcPr>
          <w:p w14:paraId="4D01C8EF" w14:textId="77777777" w:rsidR="00250FEB" w:rsidRPr="00DD6392" w:rsidRDefault="00250FEB" w:rsidP="00495520">
            <w:pPr>
              <w:rPr>
                <w:rFonts w:cstheme="minorHAnsi"/>
              </w:rPr>
            </w:pPr>
            <w:r w:rsidRPr="00DD6392">
              <w:rPr>
                <w:rFonts w:cstheme="minorHAnsi"/>
              </w:rPr>
              <w:t>MP for Glen Waverley</w:t>
            </w:r>
          </w:p>
        </w:tc>
        <w:tc>
          <w:tcPr>
            <w:tcW w:w="3866" w:type="dxa"/>
            <w:vAlign w:val="center"/>
          </w:tcPr>
          <w:p w14:paraId="58866505" w14:textId="77777777" w:rsidR="00250FEB" w:rsidRPr="00DD6392" w:rsidRDefault="00250FEB" w:rsidP="00495520">
            <w:pPr>
              <w:rPr>
                <w:rFonts w:cstheme="minorHAnsi"/>
              </w:rPr>
            </w:pPr>
            <w:r w:rsidRPr="00DD6392">
              <w:rPr>
                <w:rFonts w:cstheme="minorHAnsi"/>
              </w:rPr>
              <w:t>John.mullahy@parliament.vic.gov.au</w:t>
            </w:r>
          </w:p>
        </w:tc>
      </w:tr>
      <w:tr w:rsidR="00250FEB" w:rsidRPr="00DD6392" w14:paraId="294920B1" w14:textId="77777777" w:rsidTr="00495520">
        <w:trPr>
          <w:trHeight w:val="397"/>
          <w:jc w:val="center"/>
        </w:trPr>
        <w:tc>
          <w:tcPr>
            <w:tcW w:w="2518" w:type="dxa"/>
            <w:vAlign w:val="center"/>
          </w:tcPr>
          <w:p w14:paraId="0A8C4D91" w14:textId="77777777" w:rsidR="00250FEB" w:rsidRPr="00DD6392" w:rsidRDefault="00250FEB" w:rsidP="00495520">
            <w:pPr>
              <w:rPr>
                <w:rFonts w:cstheme="minorHAnsi"/>
              </w:rPr>
            </w:pPr>
            <w:r w:rsidRPr="00DD6392">
              <w:rPr>
                <w:rFonts w:cstheme="minorHAnsi"/>
              </w:rPr>
              <w:t>Mr Matt Fregon MP</w:t>
            </w:r>
          </w:p>
        </w:tc>
        <w:tc>
          <w:tcPr>
            <w:tcW w:w="3789" w:type="dxa"/>
            <w:vAlign w:val="center"/>
          </w:tcPr>
          <w:p w14:paraId="43886A99" w14:textId="77777777" w:rsidR="00250FEB" w:rsidRPr="00DD6392" w:rsidRDefault="00250FEB" w:rsidP="00495520">
            <w:pPr>
              <w:rPr>
                <w:rFonts w:cstheme="minorHAnsi"/>
              </w:rPr>
            </w:pPr>
            <w:r w:rsidRPr="00DD6392">
              <w:rPr>
                <w:rFonts w:cstheme="minorHAnsi"/>
              </w:rPr>
              <w:t>MP for Ashwood</w:t>
            </w:r>
          </w:p>
          <w:p w14:paraId="636E4EE4" w14:textId="77777777" w:rsidR="00250FEB" w:rsidRPr="00DD6392" w:rsidRDefault="00250FEB" w:rsidP="00495520">
            <w:pPr>
              <w:rPr>
                <w:rFonts w:cstheme="minorHAnsi"/>
              </w:rPr>
            </w:pPr>
            <w:r w:rsidRPr="00DD6392">
              <w:rPr>
                <w:rFonts w:cstheme="minorHAnsi"/>
              </w:rPr>
              <w:t>Deputy Speaker</w:t>
            </w:r>
          </w:p>
        </w:tc>
        <w:tc>
          <w:tcPr>
            <w:tcW w:w="3866" w:type="dxa"/>
            <w:vAlign w:val="center"/>
          </w:tcPr>
          <w:p w14:paraId="19D55C78" w14:textId="77777777" w:rsidR="00250FEB" w:rsidRPr="00DD6392" w:rsidRDefault="00250FEB" w:rsidP="00495520">
            <w:pPr>
              <w:rPr>
                <w:rFonts w:cstheme="minorHAnsi"/>
              </w:rPr>
            </w:pPr>
            <w:r w:rsidRPr="00DD6392">
              <w:rPr>
                <w:rFonts w:cstheme="minorHAnsi"/>
              </w:rPr>
              <w:t>Matt.fregon@parliament.vic.gov.au</w:t>
            </w:r>
          </w:p>
        </w:tc>
      </w:tr>
      <w:tr w:rsidR="00250FEB" w:rsidRPr="00DD6392" w14:paraId="4B46BF11" w14:textId="77777777" w:rsidTr="00495520">
        <w:trPr>
          <w:trHeight w:val="397"/>
          <w:jc w:val="center"/>
        </w:trPr>
        <w:tc>
          <w:tcPr>
            <w:tcW w:w="2518" w:type="dxa"/>
            <w:vAlign w:val="center"/>
          </w:tcPr>
          <w:p w14:paraId="7577E982" w14:textId="77777777" w:rsidR="00250FEB" w:rsidRPr="00DD6392" w:rsidRDefault="00250FEB" w:rsidP="00495520">
            <w:pPr>
              <w:rPr>
                <w:rFonts w:cstheme="minorHAnsi"/>
              </w:rPr>
            </w:pPr>
            <w:r w:rsidRPr="00DD6392">
              <w:rPr>
                <w:rFonts w:cstheme="minorHAnsi"/>
              </w:rPr>
              <w:t>Mr Will Fowles MP</w:t>
            </w:r>
          </w:p>
        </w:tc>
        <w:tc>
          <w:tcPr>
            <w:tcW w:w="3789" w:type="dxa"/>
            <w:vAlign w:val="center"/>
          </w:tcPr>
          <w:p w14:paraId="14461DCF" w14:textId="77777777" w:rsidR="00250FEB" w:rsidRPr="00DD6392" w:rsidRDefault="00250FEB" w:rsidP="00495520">
            <w:pPr>
              <w:rPr>
                <w:rFonts w:cstheme="minorHAnsi"/>
              </w:rPr>
            </w:pPr>
            <w:r w:rsidRPr="00DD6392">
              <w:rPr>
                <w:rFonts w:cstheme="minorHAnsi"/>
              </w:rPr>
              <w:t>MP for Ringwood</w:t>
            </w:r>
          </w:p>
        </w:tc>
        <w:tc>
          <w:tcPr>
            <w:tcW w:w="3866" w:type="dxa"/>
            <w:vAlign w:val="center"/>
          </w:tcPr>
          <w:p w14:paraId="60F25228" w14:textId="77777777" w:rsidR="00250FEB" w:rsidRPr="00DD6392" w:rsidRDefault="00250FEB" w:rsidP="00495520">
            <w:pPr>
              <w:rPr>
                <w:rFonts w:cstheme="minorHAnsi"/>
              </w:rPr>
            </w:pPr>
            <w:r w:rsidRPr="00DD6392">
              <w:rPr>
                <w:rFonts w:cstheme="minorHAnsi"/>
              </w:rPr>
              <w:t>Will.fowles@parliament.vic.gov.au</w:t>
            </w:r>
          </w:p>
        </w:tc>
      </w:tr>
      <w:tr w:rsidR="00250FEB" w:rsidRPr="00DD6392" w14:paraId="4E554D95" w14:textId="77777777" w:rsidTr="00495520">
        <w:trPr>
          <w:trHeight w:val="397"/>
          <w:jc w:val="center"/>
        </w:trPr>
        <w:tc>
          <w:tcPr>
            <w:tcW w:w="2518" w:type="dxa"/>
            <w:vAlign w:val="center"/>
          </w:tcPr>
          <w:p w14:paraId="741CD6A6" w14:textId="77777777" w:rsidR="00250FEB" w:rsidRPr="00DD6392" w:rsidRDefault="00250FEB" w:rsidP="00495520">
            <w:pPr>
              <w:rPr>
                <w:rFonts w:cstheme="minorHAnsi"/>
              </w:rPr>
            </w:pPr>
            <w:r w:rsidRPr="00DD6392">
              <w:rPr>
                <w:rFonts w:cstheme="minorHAnsi"/>
              </w:rPr>
              <w:t>Mr Nick McGowan MLC</w:t>
            </w:r>
          </w:p>
        </w:tc>
        <w:tc>
          <w:tcPr>
            <w:tcW w:w="3789" w:type="dxa"/>
            <w:vAlign w:val="center"/>
          </w:tcPr>
          <w:p w14:paraId="11639897" w14:textId="77777777" w:rsidR="00250FEB" w:rsidRPr="00DD6392" w:rsidRDefault="00250FEB" w:rsidP="00495520">
            <w:pPr>
              <w:rPr>
                <w:rFonts w:cstheme="minorHAnsi"/>
              </w:rPr>
            </w:pPr>
            <w:r w:rsidRPr="00DD6392">
              <w:rPr>
                <w:rFonts w:cstheme="minorHAnsi"/>
              </w:rPr>
              <w:t xml:space="preserve">MP for </w:t>
            </w:r>
            <w:proofErr w:type="gramStart"/>
            <w:r w:rsidRPr="00DD6392">
              <w:rPr>
                <w:rFonts w:cstheme="minorHAnsi"/>
              </w:rPr>
              <w:t>North Eastern</w:t>
            </w:r>
            <w:proofErr w:type="gramEnd"/>
            <w:r w:rsidRPr="00DD6392">
              <w:rPr>
                <w:rFonts w:cstheme="minorHAnsi"/>
              </w:rPr>
              <w:t xml:space="preserve"> Metro Region</w:t>
            </w:r>
          </w:p>
        </w:tc>
        <w:tc>
          <w:tcPr>
            <w:tcW w:w="3866" w:type="dxa"/>
            <w:vAlign w:val="center"/>
          </w:tcPr>
          <w:p w14:paraId="34E19D1E" w14:textId="77777777" w:rsidR="00250FEB" w:rsidRPr="00DD6392" w:rsidRDefault="00250FEB" w:rsidP="00495520">
            <w:pPr>
              <w:rPr>
                <w:rFonts w:cstheme="minorHAnsi"/>
              </w:rPr>
            </w:pPr>
            <w:r w:rsidRPr="00DD6392">
              <w:rPr>
                <w:rFonts w:cstheme="minorHAnsi"/>
              </w:rPr>
              <w:t>Nick.mcgowan@parliament.vic.gov.au</w:t>
            </w:r>
          </w:p>
        </w:tc>
      </w:tr>
      <w:tr w:rsidR="00250FEB" w:rsidRPr="00DD6392" w14:paraId="4579D6BD" w14:textId="77777777" w:rsidTr="00495520">
        <w:trPr>
          <w:trHeight w:val="397"/>
          <w:jc w:val="center"/>
        </w:trPr>
        <w:tc>
          <w:tcPr>
            <w:tcW w:w="2518" w:type="dxa"/>
            <w:vAlign w:val="center"/>
          </w:tcPr>
          <w:p w14:paraId="398E241F" w14:textId="77777777" w:rsidR="00250FEB" w:rsidRPr="00DD6392" w:rsidRDefault="00250FEB" w:rsidP="00495520">
            <w:pPr>
              <w:rPr>
                <w:rFonts w:cstheme="minorHAnsi"/>
              </w:rPr>
            </w:pPr>
            <w:r w:rsidRPr="00DD6392">
              <w:rPr>
                <w:rFonts w:cstheme="minorHAnsi"/>
              </w:rPr>
              <w:t>Mr Richard Welch MLC</w:t>
            </w:r>
          </w:p>
        </w:tc>
        <w:tc>
          <w:tcPr>
            <w:tcW w:w="3789" w:type="dxa"/>
            <w:vAlign w:val="center"/>
          </w:tcPr>
          <w:p w14:paraId="1D0C8EAF" w14:textId="77777777" w:rsidR="00250FEB" w:rsidRPr="00DD6392" w:rsidRDefault="00250FEB" w:rsidP="00495520">
            <w:pPr>
              <w:rPr>
                <w:rFonts w:cstheme="minorHAnsi"/>
              </w:rPr>
            </w:pPr>
            <w:r w:rsidRPr="00DD6392">
              <w:rPr>
                <w:rFonts w:cstheme="minorHAnsi"/>
              </w:rPr>
              <w:t xml:space="preserve">MP for </w:t>
            </w:r>
            <w:proofErr w:type="gramStart"/>
            <w:r w:rsidRPr="00DD6392">
              <w:rPr>
                <w:rFonts w:cstheme="minorHAnsi"/>
              </w:rPr>
              <w:t>North Eastern</w:t>
            </w:r>
            <w:proofErr w:type="gramEnd"/>
            <w:r w:rsidRPr="00DD6392">
              <w:rPr>
                <w:rFonts w:cstheme="minorHAnsi"/>
              </w:rPr>
              <w:t xml:space="preserve"> Metro Region</w:t>
            </w:r>
          </w:p>
        </w:tc>
        <w:tc>
          <w:tcPr>
            <w:tcW w:w="3866" w:type="dxa"/>
            <w:vAlign w:val="center"/>
          </w:tcPr>
          <w:p w14:paraId="05CA85C0" w14:textId="77777777" w:rsidR="00250FEB" w:rsidRPr="00DD6392" w:rsidRDefault="00250FEB" w:rsidP="00495520">
            <w:pPr>
              <w:rPr>
                <w:rFonts w:cstheme="minorHAnsi"/>
              </w:rPr>
            </w:pPr>
            <w:r w:rsidRPr="00DD6392">
              <w:rPr>
                <w:rFonts w:cstheme="minorHAnsi"/>
              </w:rPr>
              <w:t>Richard.welch@parliament.vic.gov.au</w:t>
            </w:r>
          </w:p>
        </w:tc>
      </w:tr>
      <w:tr w:rsidR="00250FEB" w:rsidRPr="00DD6392" w14:paraId="004C3CAD" w14:textId="77777777" w:rsidTr="00495520">
        <w:trPr>
          <w:trHeight w:val="397"/>
          <w:jc w:val="center"/>
        </w:trPr>
        <w:tc>
          <w:tcPr>
            <w:tcW w:w="2518" w:type="dxa"/>
            <w:vAlign w:val="center"/>
          </w:tcPr>
          <w:p w14:paraId="6E2FEF24" w14:textId="77777777" w:rsidR="00250FEB" w:rsidRPr="00DD6392" w:rsidRDefault="00250FEB" w:rsidP="00495520">
            <w:pPr>
              <w:rPr>
                <w:rFonts w:cstheme="minorHAnsi"/>
              </w:rPr>
            </w:pPr>
            <w:r w:rsidRPr="00DD6392">
              <w:rPr>
                <w:rFonts w:cstheme="minorHAnsi"/>
              </w:rPr>
              <w:t>Mr Brad Battin MP</w:t>
            </w:r>
          </w:p>
        </w:tc>
        <w:tc>
          <w:tcPr>
            <w:tcW w:w="3789" w:type="dxa"/>
            <w:vAlign w:val="center"/>
          </w:tcPr>
          <w:p w14:paraId="3FF63A27" w14:textId="77777777" w:rsidR="00250FEB" w:rsidRPr="00DD6392" w:rsidRDefault="00250FEB" w:rsidP="00495520">
            <w:pPr>
              <w:rPr>
                <w:rFonts w:cstheme="minorHAnsi"/>
              </w:rPr>
            </w:pPr>
            <w:r w:rsidRPr="00DD6392">
              <w:rPr>
                <w:rFonts w:cstheme="minorHAnsi"/>
              </w:rPr>
              <w:t>Opposition Leader, Victoria</w:t>
            </w:r>
          </w:p>
        </w:tc>
        <w:tc>
          <w:tcPr>
            <w:tcW w:w="3866" w:type="dxa"/>
            <w:vAlign w:val="center"/>
          </w:tcPr>
          <w:p w14:paraId="6421D098" w14:textId="77777777" w:rsidR="00250FEB" w:rsidRPr="00DD6392" w:rsidRDefault="00250FEB" w:rsidP="00495520">
            <w:pPr>
              <w:rPr>
                <w:rFonts w:cstheme="minorHAnsi"/>
              </w:rPr>
            </w:pPr>
            <w:r w:rsidRPr="00DD6392">
              <w:rPr>
                <w:rFonts w:cstheme="minorHAnsi"/>
              </w:rPr>
              <w:t>Brad.battin@parliament.vic.gov.au</w:t>
            </w:r>
          </w:p>
        </w:tc>
      </w:tr>
      <w:tr w:rsidR="00250FEB" w:rsidRPr="00DD6392" w14:paraId="1D2F5660" w14:textId="77777777" w:rsidTr="00495520">
        <w:trPr>
          <w:trHeight w:val="397"/>
          <w:jc w:val="center"/>
        </w:trPr>
        <w:tc>
          <w:tcPr>
            <w:tcW w:w="2518" w:type="dxa"/>
            <w:vAlign w:val="center"/>
          </w:tcPr>
          <w:p w14:paraId="07C06A14" w14:textId="77777777" w:rsidR="00250FEB" w:rsidRPr="00DD6392" w:rsidRDefault="00250FEB" w:rsidP="00495520">
            <w:pPr>
              <w:rPr>
                <w:rFonts w:cstheme="minorHAnsi"/>
              </w:rPr>
            </w:pPr>
            <w:r w:rsidRPr="00DD6392">
              <w:rPr>
                <w:rFonts w:cstheme="minorHAnsi"/>
              </w:rPr>
              <w:t>Mr Richard Riordan MP</w:t>
            </w:r>
          </w:p>
        </w:tc>
        <w:tc>
          <w:tcPr>
            <w:tcW w:w="3789" w:type="dxa"/>
            <w:vAlign w:val="center"/>
          </w:tcPr>
          <w:p w14:paraId="7BB241B4" w14:textId="77777777" w:rsidR="00250FEB" w:rsidRPr="00DD6392" w:rsidRDefault="00250FEB" w:rsidP="00495520">
            <w:pPr>
              <w:rPr>
                <w:rFonts w:cstheme="minorHAnsi"/>
              </w:rPr>
            </w:pPr>
            <w:r w:rsidRPr="00DD6392">
              <w:rPr>
                <w:rFonts w:cstheme="minorHAnsi"/>
              </w:rPr>
              <w:t>Shadow Minister for Housing &amp; Planning</w:t>
            </w:r>
          </w:p>
        </w:tc>
        <w:tc>
          <w:tcPr>
            <w:tcW w:w="3866" w:type="dxa"/>
            <w:vAlign w:val="center"/>
          </w:tcPr>
          <w:p w14:paraId="008F86B4" w14:textId="77777777" w:rsidR="00250FEB" w:rsidRPr="00DD6392" w:rsidRDefault="00250FEB" w:rsidP="00495520">
            <w:pPr>
              <w:rPr>
                <w:rFonts w:cstheme="minorHAnsi"/>
              </w:rPr>
            </w:pPr>
            <w:r w:rsidRPr="00DD6392">
              <w:rPr>
                <w:rFonts w:cstheme="minorHAnsi"/>
              </w:rPr>
              <w:t>Richard.riordan@parliament.vic.gov.au</w:t>
            </w:r>
          </w:p>
        </w:tc>
      </w:tr>
      <w:tr w:rsidR="00250FEB" w:rsidRPr="00DD6392" w14:paraId="2DD443F4" w14:textId="77777777" w:rsidTr="00495520">
        <w:trPr>
          <w:trHeight w:val="397"/>
          <w:jc w:val="center"/>
        </w:trPr>
        <w:tc>
          <w:tcPr>
            <w:tcW w:w="2518" w:type="dxa"/>
            <w:vAlign w:val="center"/>
          </w:tcPr>
          <w:p w14:paraId="3C115015" w14:textId="77777777" w:rsidR="00250FEB" w:rsidRPr="00DD6392" w:rsidRDefault="00250FEB" w:rsidP="00495520">
            <w:pPr>
              <w:rPr>
                <w:rFonts w:cstheme="minorHAnsi"/>
              </w:rPr>
            </w:pPr>
            <w:r w:rsidRPr="00DD6392">
              <w:rPr>
                <w:rFonts w:cstheme="minorHAnsi"/>
              </w:rPr>
              <w:t>Ms Cindy McLeish MP</w:t>
            </w:r>
          </w:p>
        </w:tc>
        <w:tc>
          <w:tcPr>
            <w:tcW w:w="3789" w:type="dxa"/>
            <w:vAlign w:val="center"/>
          </w:tcPr>
          <w:p w14:paraId="7F3A053D" w14:textId="77777777" w:rsidR="00250FEB" w:rsidRPr="00DD6392" w:rsidRDefault="00250FEB" w:rsidP="00495520">
            <w:pPr>
              <w:rPr>
                <w:rFonts w:cstheme="minorHAnsi"/>
              </w:rPr>
            </w:pPr>
            <w:r w:rsidRPr="00DD6392">
              <w:rPr>
                <w:rFonts w:cstheme="minorHAnsi"/>
              </w:rPr>
              <w:t>Shadow Minister for Environment</w:t>
            </w:r>
          </w:p>
        </w:tc>
        <w:tc>
          <w:tcPr>
            <w:tcW w:w="3866" w:type="dxa"/>
            <w:vAlign w:val="center"/>
          </w:tcPr>
          <w:p w14:paraId="6FE7E1F4" w14:textId="77777777" w:rsidR="00250FEB" w:rsidRPr="00DD6392" w:rsidRDefault="00250FEB" w:rsidP="00495520">
            <w:pPr>
              <w:rPr>
                <w:rFonts w:cstheme="minorHAnsi"/>
              </w:rPr>
            </w:pPr>
            <w:r w:rsidRPr="00DD6392">
              <w:rPr>
                <w:rFonts w:cstheme="minorHAnsi"/>
              </w:rPr>
              <w:t>cindy.mcleish@parliament.vic.gov.au</w:t>
            </w:r>
          </w:p>
        </w:tc>
      </w:tr>
      <w:tr w:rsidR="00250FEB" w:rsidRPr="00DD6392" w14:paraId="7557079C" w14:textId="77777777" w:rsidTr="00495520">
        <w:trPr>
          <w:trHeight w:val="397"/>
          <w:jc w:val="center"/>
        </w:trPr>
        <w:tc>
          <w:tcPr>
            <w:tcW w:w="2518" w:type="dxa"/>
            <w:vAlign w:val="center"/>
          </w:tcPr>
          <w:p w14:paraId="433FBA49" w14:textId="77777777" w:rsidR="00250FEB" w:rsidRPr="00DD6392" w:rsidRDefault="00250FEB" w:rsidP="00495520">
            <w:pPr>
              <w:rPr>
                <w:rFonts w:cstheme="minorHAnsi"/>
              </w:rPr>
            </w:pPr>
            <w:r w:rsidRPr="00DD6392">
              <w:rPr>
                <w:rFonts w:cstheme="minorHAnsi"/>
              </w:rPr>
              <w:t>Ms Ellen Sandell MP</w:t>
            </w:r>
          </w:p>
        </w:tc>
        <w:tc>
          <w:tcPr>
            <w:tcW w:w="3789" w:type="dxa"/>
            <w:vAlign w:val="center"/>
          </w:tcPr>
          <w:p w14:paraId="7EDA69C4" w14:textId="77777777" w:rsidR="00250FEB" w:rsidRPr="00DD6392" w:rsidRDefault="00250FEB" w:rsidP="00495520">
            <w:pPr>
              <w:rPr>
                <w:rFonts w:cstheme="minorHAnsi"/>
              </w:rPr>
            </w:pPr>
            <w:r w:rsidRPr="00DD6392">
              <w:rPr>
                <w:rFonts w:cstheme="minorHAnsi"/>
              </w:rPr>
              <w:t>Leader of the Greens</w:t>
            </w:r>
          </w:p>
        </w:tc>
        <w:tc>
          <w:tcPr>
            <w:tcW w:w="3866" w:type="dxa"/>
            <w:vAlign w:val="center"/>
          </w:tcPr>
          <w:p w14:paraId="1C188FF2" w14:textId="77777777" w:rsidR="00250FEB" w:rsidRPr="00DD6392" w:rsidRDefault="00250FEB" w:rsidP="00495520">
            <w:pPr>
              <w:rPr>
                <w:rFonts w:cstheme="minorHAnsi"/>
              </w:rPr>
            </w:pPr>
            <w:r w:rsidRPr="00DD6392">
              <w:rPr>
                <w:rFonts w:cstheme="minorHAnsi"/>
              </w:rPr>
              <w:t>ellen.sandell@parliament.vic.gov.au</w:t>
            </w:r>
          </w:p>
        </w:tc>
      </w:tr>
      <w:tr w:rsidR="00250FEB" w:rsidRPr="00DD6392" w14:paraId="5C200065" w14:textId="77777777" w:rsidTr="00495520">
        <w:trPr>
          <w:trHeight w:val="397"/>
          <w:jc w:val="center"/>
        </w:trPr>
        <w:tc>
          <w:tcPr>
            <w:tcW w:w="2518" w:type="dxa"/>
            <w:vAlign w:val="center"/>
          </w:tcPr>
          <w:p w14:paraId="26CBDD91" w14:textId="77777777" w:rsidR="00250FEB" w:rsidRPr="00DD6392" w:rsidRDefault="00250FEB" w:rsidP="00495520">
            <w:pPr>
              <w:rPr>
                <w:rFonts w:cstheme="minorHAnsi"/>
              </w:rPr>
            </w:pPr>
            <w:r w:rsidRPr="00DD6392">
              <w:rPr>
                <w:rFonts w:cstheme="minorHAnsi"/>
              </w:rPr>
              <w:t xml:space="preserve">Mr </w:t>
            </w:r>
            <w:proofErr w:type="spellStart"/>
            <w:r w:rsidRPr="00DD6392">
              <w:rPr>
                <w:rFonts w:cstheme="minorHAnsi"/>
              </w:rPr>
              <w:t>Aiv</w:t>
            </w:r>
            <w:proofErr w:type="spellEnd"/>
            <w:r w:rsidRPr="00DD6392">
              <w:rPr>
                <w:rFonts w:cstheme="minorHAnsi"/>
              </w:rPr>
              <w:t xml:space="preserve"> Puglielli MLC</w:t>
            </w:r>
          </w:p>
        </w:tc>
        <w:tc>
          <w:tcPr>
            <w:tcW w:w="3789" w:type="dxa"/>
            <w:vAlign w:val="center"/>
          </w:tcPr>
          <w:p w14:paraId="75FFBABF" w14:textId="77777777" w:rsidR="00250FEB" w:rsidRPr="00DD6392" w:rsidRDefault="00250FEB" w:rsidP="00495520">
            <w:pPr>
              <w:rPr>
                <w:rFonts w:cstheme="minorHAnsi"/>
              </w:rPr>
            </w:pPr>
            <w:r w:rsidRPr="00DD6392">
              <w:rPr>
                <w:rFonts w:cstheme="minorHAnsi"/>
              </w:rPr>
              <w:t xml:space="preserve">MP for </w:t>
            </w:r>
            <w:proofErr w:type="gramStart"/>
            <w:r w:rsidRPr="00DD6392">
              <w:rPr>
                <w:rFonts w:cstheme="minorHAnsi"/>
              </w:rPr>
              <w:t>North Eastern</w:t>
            </w:r>
            <w:proofErr w:type="gramEnd"/>
            <w:r w:rsidRPr="00DD6392">
              <w:rPr>
                <w:rFonts w:cstheme="minorHAnsi"/>
              </w:rPr>
              <w:t xml:space="preserve"> Metro Region</w:t>
            </w:r>
          </w:p>
        </w:tc>
        <w:tc>
          <w:tcPr>
            <w:tcW w:w="3866" w:type="dxa"/>
            <w:vAlign w:val="center"/>
          </w:tcPr>
          <w:p w14:paraId="6EAC1EA1" w14:textId="77777777" w:rsidR="00250FEB" w:rsidRPr="00DD6392" w:rsidRDefault="00250FEB" w:rsidP="00495520">
            <w:pPr>
              <w:rPr>
                <w:rFonts w:cstheme="minorHAnsi"/>
              </w:rPr>
            </w:pPr>
            <w:r w:rsidRPr="00DD6392">
              <w:rPr>
                <w:rFonts w:cstheme="minorHAnsi"/>
              </w:rPr>
              <w:t>Aiv.puglielli@parliament.vic.gov.au</w:t>
            </w:r>
          </w:p>
        </w:tc>
      </w:tr>
    </w:tbl>
    <w:p w14:paraId="02D13A46" w14:textId="77777777" w:rsidR="00961CD7" w:rsidRDefault="00961CD7" w:rsidP="00250FEB">
      <w:pPr>
        <w:pStyle w:val="NormalWeb"/>
        <w:spacing w:before="120" w:beforeAutospacing="0" w:after="120" w:afterAutospacing="0"/>
        <w:ind w:right="113"/>
        <w:rPr>
          <w:rFonts w:asciiTheme="minorHAnsi" w:hAnsiTheme="minorHAnsi" w:cstheme="minorHAnsi"/>
          <w:b/>
          <w:bCs/>
          <w:color w:val="215F9A"/>
          <w:sz w:val="28"/>
          <w:szCs w:val="28"/>
        </w:rPr>
      </w:pPr>
    </w:p>
    <w:p w14:paraId="13E19BE8" w14:textId="7D280192" w:rsidR="00250FEB" w:rsidRDefault="00250FEB" w:rsidP="00250FEB">
      <w:pPr>
        <w:pStyle w:val="NormalWeb"/>
        <w:spacing w:before="120" w:beforeAutospacing="0" w:after="120" w:afterAutospacing="0"/>
        <w:ind w:right="113"/>
        <w:rPr>
          <w:rFonts w:asciiTheme="minorHAnsi" w:hAnsiTheme="minorHAnsi" w:cstheme="minorHAnsi"/>
          <w:b/>
          <w:sz w:val="20"/>
          <w:szCs w:val="20"/>
        </w:rPr>
      </w:pPr>
      <w:r>
        <w:rPr>
          <w:rFonts w:asciiTheme="minorHAnsi" w:hAnsiTheme="minorHAnsi" w:cstheme="minorHAnsi"/>
          <w:b/>
          <w:bCs/>
          <w:color w:val="215F9A"/>
          <w:sz w:val="28"/>
          <w:szCs w:val="28"/>
        </w:rPr>
        <w:t xml:space="preserve">Select a QR code for detailed </w:t>
      </w:r>
      <w:r w:rsidRPr="0075675D">
        <w:rPr>
          <w:rFonts w:asciiTheme="minorHAnsi" w:hAnsiTheme="minorHAnsi" w:cstheme="minorHAnsi"/>
          <w:b/>
          <w:bCs/>
          <w:color w:val="215F9A"/>
          <w:sz w:val="28"/>
          <w:szCs w:val="28"/>
        </w:rPr>
        <w:t>Activity Centres</w:t>
      </w:r>
      <w:r>
        <w:rPr>
          <w:rFonts w:asciiTheme="minorHAnsi" w:hAnsiTheme="minorHAnsi" w:cstheme="minorHAnsi"/>
          <w:b/>
          <w:bCs/>
          <w:color w:val="215F9A"/>
          <w:sz w:val="28"/>
          <w:szCs w:val="28"/>
        </w:rPr>
        <w:t xml:space="preserve"> information </w:t>
      </w:r>
      <w:r w:rsidRPr="0075675D">
        <w:rPr>
          <w:rFonts w:asciiTheme="minorHAnsi" w:hAnsiTheme="minorHAnsi" w:cstheme="minorHAnsi"/>
          <w:b/>
          <w:bCs/>
          <w:color w:val="215F9A"/>
          <w:sz w:val="28"/>
          <w:szCs w:val="28"/>
        </w:rPr>
        <w:t xml:space="preserve">to </w:t>
      </w:r>
      <w:r>
        <w:rPr>
          <w:rFonts w:asciiTheme="minorHAnsi" w:hAnsiTheme="minorHAnsi" w:cstheme="minorHAnsi"/>
          <w:b/>
          <w:bCs/>
          <w:color w:val="215F9A"/>
          <w:sz w:val="28"/>
          <w:szCs w:val="28"/>
        </w:rPr>
        <w:t>a</w:t>
      </w:r>
      <w:r w:rsidRPr="0075675D">
        <w:rPr>
          <w:rFonts w:asciiTheme="minorHAnsi" w:hAnsiTheme="minorHAnsi" w:cstheme="minorHAnsi"/>
          <w:b/>
          <w:bCs/>
          <w:color w:val="215F9A"/>
          <w:sz w:val="28"/>
          <w:szCs w:val="28"/>
        </w:rPr>
        <w:t xml:space="preserve">ssist </w:t>
      </w:r>
      <w:r>
        <w:rPr>
          <w:rFonts w:asciiTheme="minorHAnsi" w:hAnsiTheme="minorHAnsi" w:cstheme="minorHAnsi"/>
          <w:b/>
          <w:bCs/>
          <w:color w:val="215F9A"/>
          <w:sz w:val="28"/>
          <w:szCs w:val="28"/>
        </w:rPr>
        <w:t>with i</w:t>
      </w:r>
      <w:r w:rsidRPr="0075675D">
        <w:rPr>
          <w:rFonts w:asciiTheme="minorHAnsi" w:hAnsiTheme="minorHAnsi" w:cstheme="minorHAnsi"/>
          <w:b/>
          <w:bCs/>
          <w:color w:val="215F9A"/>
          <w:sz w:val="28"/>
          <w:szCs w:val="28"/>
        </w:rPr>
        <w:t xml:space="preserve">ndividual </w:t>
      </w:r>
      <w:r>
        <w:rPr>
          <w:rFonts w:asciiTheme="minorHAnsi" w:hAnsiTheme="minorHAnsi" w:cstheme="minorHAnsi"/>
          <w:b/>
          <w:bCs/>
          <w:color w:val="215F9A"/>
          <w:sz w:val="28"/>
          <w:szCs w:val="28"/>
        </w:rPr>
        <w:t>written s</w:t>
      </w:r>
      <w:r w:rsidRPr="0075675D">
        <w:rPr>
          <w:rFonts w:asciiTheme="minorHAnsi" w:hAnsiTheme="minorHAnsi" w:cstheme="minorHAnsi"/>
          <w:b/>
          <w:bCs/>
          <w:color w:val="215F9A"/>
          <w:sz w:val="28"/>
          <w:szCs w:val="28"/>
        </w:rPr>
        <w:t>ubmissions</w:t>
      </w:r>
      <w:r>
        <w:rPr>
          <w:rFonts w:asciiTheme="minorHAnsi" w:hAnsiTheme="minorHAnsi" w:cstheme="minorHAnsi"/>
          <w:b/>
          <w:bCs/>
          <w:color w:val="215F9A"/>
          <w:sz w:val="28"/>
          <w:szCs w:val="28"/>
        </w:rPr>
        <w:t xml:space="preserve">. Send email to Planning Victoria - </w:t>
      </w:r>
      <w:hyperlink r:id="rId10" w:history="1">
        <w:r w:rsidRPr="00B42255">
          <w:rPr>
            <w:rStyle w:val="Hyperlink"/>
            <w:rFonts w:cstheme="minorHAnsi"/>
            <w:b/>
          </w:rPr>
          <w:t>activity.centres@transport.vic.g</w:t>
        </w:r>
        <w:r w:rsidRPr="004B0053">
          <w:rPr>
            <w:rStyle w:val="Hyperlink"/>
            <w:rFonts w:cstheme="minorHAnsi"/>
            <w:b/>
          </w:rPr>
          <w:t>o</w:t>
        </w:r>
        <w:r w:rsidRPr="004B0053">
          <w:rPr>
            <w:rStyle w:val="Hyperlink"/>
            <w:rFonts w:asciiTheme="minorHAnsi" w:hAnsiTheme="minorHAnsi" w:cstheme="minorHAnsi"/>
            <w:b/>
          </w:rPr>
          <w:t>v.au</w:t>
        </w:r>
      </w:hyperlink>
    </w:p>
    <w:p w14:paraId="5126BDEA" w14:textId="77777777" w:rsidR="00250FEB" w:rsidRPr="00197C59" w:rsidRDefault="00250FEB" w:rsidP="00250FEB">
      <w:pPr>
        <w:pStyle w:val="NormalWeb"/>
        <w:spacing w:before="120" w:beforeAutospacing="0" w:after="120" w:afterAutospacing="0"/>
        <w:ind w:right="113"/>
        <w:rPr>
          <w:rFonts w:asciiTheme="minorHAnsi" w:hAnsiTheme="minorHAnsi" w:cstheme="minorHAnsi"/>
          <w:sz w:val="20"/>
          <w:szCs w:val="20"/>
        </w:rPr>
      </w:pPr>
      <w:r w:rsidRPr="005C65F3">
        <w:rPr>
          <w:rFonts w:ascii="Calibri" w:eastAsia="Calibri" w:hAnsi="Calibri" w:cs="Calibri"/>
          <w:b/>
          <w:noProof/>
          <w:lang w:eastAsia="en-AU"/>
        </w:rPr>
        <w:drawing>
          <wp:anchor distT="0" distB="0" distL="114300" distR="114300" simplePos="0" relativeHeight="251666432" behindDoc="0" locked="0" layoutInCell="1" allowOverlap="1" wp14:anchorId="6E4D0618" wp14:editId="1BEFB577">
            <wp:simplePos x="0" y="0"/>
            <wp:positionH relativeFrom="column">
              <wp:posOffset>1099185</wp:posOffset>
            </wp:positionH>
            <wp:positionV relativeFrom="paragraph">
              <wp:posOffset>203200</wp:posOffset>
            </wp:positionV>
            <wp:extent cx="534670" cy="528955"/>
            <wp:effectExtent l="0" t="0" r="0" b="4445"/>
            <wp:wrapTopAndBottom/>
            <wp:docPr id="166734433"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927802" name="Picture 1" descr="A qr code on a whit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flipV="1">
                      <a:off x="0" y="0"/>
                      <a:ext cx="534670" cy="528955"/>
                    </a:xfrm>
                    <a:prstGeom prst="rect">
                      <a:avLst/>
                    </a:prstGeom>
                  </pic:spPr>
                </pic:pic>
              </a:graphicData>
            </a:graphic>
          </wp:anchor>
        </w:drawing>
      </w:r>
      <w:r w:rsidRPr="005C65F3">
        <w:rPr>
          <w:rFonts w:ascii="Calibri" w:eastAsia="Calibri" w:hAnsi="Calibri" w:cs="Calibri"/>
          <w:b/>
          <w:noProof/>
          <w:lang w:eastAsia="en-AU"/>
        </w:rPr>
        <w:drawing>
          <wp:anchor distT="0" distB="0" distL="114300" distR="114300" simplePos="0" relativeHeight="251665408" behindDoc="0" locked="0" layoutInCell="1" allowOverlap="1" wp14:anchorId="56115BB0" wp14:editId="72F75762">
            <wp:simplePos x="0" y="0"/>
            <wp:positionH relativeFrom="column">
              <wp:posOffset>4617934</wp:posOffset>
            </wp:positionH>
            <wp:positionV relativeFrom="paragraph">
              <wp:posOffset>203200</wp:posOffset>
            </wp:positionV>
            <wp:extent cx="535305" cy="530860"/>
            <wp:effectExtent l="0" t="0" r="0" b="2540"/>
            <wp:wrapTopAndBottom/>
            <wp:docPr id="1006284496"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305171" name="Picture 1" descr="A qr code on a white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flipV="1">
                      <a:off x="0" y="0"/>
                      <a:ext cx="535305" cy="530860"/>
                    </a:xfrm>
                    <a:prstGeom prst="rect">
                      <a:avLst/>
                    </a:prstGeom>
                  </pic:spPr>
                </pic:pic>
              </a:graphicData>
            </a:graphic>
            <wp14:sizeRelH relativeFrom="margin">
              <wp14:pctWidth>0</wp14:pctWidth>
            </wp14:sizeRelH>
            <wp14:sizeRelV relativeFrom="margin">
              <wp14:pctHeight>0</wp14:pctHeight>
            </wp14:sizeRelV>
          </wp:anchor>
        </w:drawing>
      </w:r>
    </w:p>
    <w:p w14:paraId="5650A168" w14:textId="77777777" w:rsidR="00250FEB" w:rsidRPr="003A013D" w:rsidRDefault="00250FEB" w:rsidP="00250FEB">
      <w:pPr>
        <w:spacing w:line="256" w:lineRule="auto"/>
        <w:jc w:val="center"/>
        <w:rPr>
          <w:rStyle w:val="Hyperlink"/>
          <w:rFonts w:ascii="Calibri" w:eastAsia="Calibri" w:hAnsi="Calibri" w:cs="Calibri"/>
          <w:bCs/>
          <w:sz w:val="20"/>
          <w:szCs w:val="20"/>
        </w:rPr>
      </w:pPr>
      <w:hyperlink r:id="rId13" w:history="1">
        <w:r w:rsidRPr="00197C59">
          <w:rPr>
            <w:rStyle w:val="Hyperlink"/>
            <w:rFonts w:cstheme="minorHAnsi"/>
            <w:i/>
            <w:sz w:val="20"/>
            <w:szCs w:val="20"/>
          </w:rPr>
          <w:t>https://www.crowag.com/events</w:t>
        </w:r>
      </w:hyperlink>
      <w:r>
        <w:rPr>
          <w:rFonts w:cstheme="minorHAnsi"/>
          <w:i/>
          <w:sz w:val="18"/>
          <w:szCs w:val="18"/>
        </w:rPr>
        <w:t xml:space="preserve">                                                              </w:t>
      </w:r>
      <w:hyperlink r:id="rId14" w:history="1">
        <w:r w:rsidRPr="003A013D">
          <w:rPr>
            <w:rStyle w:val="Hyperlink"/>
            <w:rFonts w:ascii="Calibri" w:eastAsia="Calibri" w:hAnsi="Calibri" w:cs="Calibri"/>
            <w:bCs/>
            <w:sz w:val="20"/>
            <w:szCs w:val="20"/>
          </w:rPr>
          <w:t>https://blackburnbrag.wordpress.com/</w:t>
        </w:r>
      </w:hyperlink>
    </w:p>
    <w:sectPr w:rsidR="00250FEB" w:rsidRPr="003A013D" w:rsidSect="006F0DE6">
      <w:headerReference w:type="default" r:id="rId15"/>
      <w:pgSz w:w="11906" w:h="16838" w:code="9"/>
      <w:pgMar w:top="851" w:right="794" w:bottom="397" w:left="794" w:header="454"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94EFC" w14:textId="77777777" w:rsidR="00294BB8" w:rsidRDefault="00294BB8" w:rsidP="0008047E">
      <w:pPr>
        <w:spacing w:after="0" w:line="240" w:lineRule="auto"/>
      </w:pPr>
      <w:r>
        <w:separator/>
      </w:r>
    </w:p>
  </w:endnote>
  <w:endnote w:type="continuationSeparator" w:id="0">
    <w:p w14:paraId="2C30D815" w14:textId="77777777" w:rsidR="00294BB8" w:rsidRDefault="00294BB8" w:rsidP="0008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B1764" w14:textId="77777777" w:rsidR="00294BB8" w:rsidRDefault="00294BB8" w:rsidP="0008047E">
      <w:pPr>
        <w:spacing w:after="0" w:line="240" w:lineRule="auto"/>
      </w:pPr>
      <w:r>
        <w:separator/>
      </w:r>
    </w:p>
  </w:footnote>
  <w:footnote w:type="continuationSeparator" w:id="0">
    <w:p w14:paraId="653EF430" w14:textId="77777777" w:rsidR="00294BB8" w:rsidRDefault="00294BB8" w:rsidP="0008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FB2EC" w14:textId="77777777" w:rsidR="00F34A17" w:rsidRDefault="00F34A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990"/>
    <w:multiLevelType w:val="hybridMultilevel"/>
    <w:tmpl w:val="7E481B0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6971F4"/>
    <w:multiLevelType w:val="hybridMultilevel"/>
    <w:tmpl w:val="C308A5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4D183F"/>
    <w:multiLevelType w:val="hybridMultilevel"/>
    <w:tmpl w:val="024215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E47C5B"/>
    <w:multiLevelType w:val="hybridMultilevel"/>
    <w:tmpl w:val="1B14235E"/>
    <w:lvl w:ilvl="0" w:tplc="0C09000B">
      <w:start w:val="1"/>
      <w:numFmt w:val="bullet"/>
      <w:lvlText w:val=""/>
      <w:lvlJc w:val="left"/>
      <w:pPr>
        <w:ind w:left="1429" w:hanging="360"/>
      </w:pPr>
      <w:rPr>
        <w:rFonts w:ascii="Wingdings" w:hAnsi="Wingdings"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 w15:restartNumberingAfterBreak="0">
    <w:nsid w:val="0F154305"/>
    <w:multiLevelType w:val="multilevel"/>
    <w:tmpl w:val="C428CF0E"/>
    <w:lvl w:ilvl="0">
      <w:start w:val="1"/>
      <w:numFmt w:val="bullet"/>
      <w:lvlText w:val=""/>
      <w:lvlJc w:val="left"/>
      <w:pPr>
        <w:tabs>
          <w:tab w:val="num" w:pos="-945"/>
        </w:tabs>
        <w:ind w:left="-945" w:hanging="360"/>
      </w:pPr>
      <w:rPr>
        <w:rFonts w:ascii="Symbol" w:hAnsi="Symbol" w:hint="default"/>
        <w:sz w:val="20"/>
      </w:rPr>
    </w:lvl>
    <w:lvl w:ilvl="1">
      <w:start w:val="1"/>
      <w:numFmt w:val="bullet"/>
      <w:lvlText w:val="o"/>
      <w:lvlJc w:val="left"/>
      <w:pPr>
        <w:tabs>
          <w:tab w:val="num" w:pos="-225"/>
        </w:tabs>
        <w:ind w:left="-225" w:hanging="360"/>
      </w:pPr>
      <w:rPr>
        <w:rFonts w:ascii="Courier New" w:hAnsi="Courier New" w:hint="default"/>
        <w:sz w:val="20"/>
      </w:rPr>
    </w:lvl>
    <w:lvl w:ilvl="2" w:tentative="1">
      <w:start w:val="1"/>
      <w:numFmt w:val="bullet"/>
      <w:lvlText w:val=""/>
      <w:lvlJc w:val="left"/>
      <w:pPr>
        <w:tabs>
          <w:tab w:val="num" w:pos="495"/>
        </w:tabs>
        <w:ind w:left="495" w:hanging="360"/>
      </w:pPr>
      <w:rPr>
        <w:rFonts w:ascii="Wingdings" w:hAnsi="Wingdings" w:hint="default"/>
        <w:sz w:val="20"/>
      </w:rPr>
    </w:lvl>
    <w:lvl w:ilvl="3" w:tentative="1">
      <w:start w:val="1"/>
      <w:numFmt w:val="bullet"/>
      <w:lvlText w:val=""/>
      <w:lvlJc w:val="left"/>
      <w:pPr>
        <w:tabs>
          <w:tab w:val="num" w:pos="1215"/>
        </w:tabs>
        <w:ind w:left="1215" w:hanging="360"/>
      </w:pPr>
      <w:rPr>
        <w:rFonts w:ascii="Wingdings" w:hAnsi="Wingdings" w:hint="default"/>
        <w:sz w:val="20"/>
      </w:rPr>
    </w:lvl>
    <w:lvl w:ilvl="4" w:tentative="1">
      <w:start w:val="1"/>
      <w:numFmt w:val="bullet"/>
      <w:lvlText w:val=""/>
      <w:lvlJc w:val="left"/>
      <w:pPr>
        <w:tabs>
          <w:tab w:val="num" w:pos="1935"/>
        </w:tabs>
        <w:ind w:left="1935" w:hanging="360"/>
      </w:pPr>
      <w:rPr>
        <w:rFonts w:ascii="Wingdings" w:hAnsi="Wingdings" w:hint="default"/>
        <w:sz w:val="20"/>
      </w:rPr>
    </w:lvl>
    <w:lvl w:ilvl="5" w:tentative="1">
      <w:start w:val="1"/>
      <w:numFmt w:val="bullet"/>
      <w:lvlText w:val=""/>
      <w:lvlJc w:val="left"/>
      <w:pPr>
        <w:tabs>
          <w:tab w:val="num" w:pos="2655"/>
        </w:tabs>
        <w:ind w:left="2655" w:hanging="360"/>
      </w:pPr>
      <w:rPr>
        <w:rFonts w:ascii="Wingdings" w:hAnsi="Wingdings" w:hint="default"/>
        <w:sz w:val="20"/>
      </w:rPr>
    </w:lvl>
    <w:lvl w:ilvl="6" w:tentative="1">
      <w:start w:val="1"/>
      <w:numFmt w:val="bullet"/>
      <w:lvlText w:val=""/>
      <w:lvlJc w:val="left"/>
      <w:pPr>
        <w:tabs>
          <w:tab w:val="num" w:pos="3375"/>
        </w:tabs>
        <w:ind w:left="3375" w:hanging="360"/>
      </w:pPr>
      <w:rPr>
        <w:rFonts w:ascii="Wingdings" w:hAnsi="Wingdings" w:hint="default"/>
        <w:sz w:val="20"/>
      </w:rPr>
    </w:lvl>
    <w:lvl w:ilvl="7" w:tentative="1">
      <w:start w:val="1"/>
      <w:numFmt w:val="bullet"/>
      <w:lvlText w:val=""/>
      <w:lvlJc w:val="left"/>
      <w:pPr>
        <w:tabs>
          <w:tab w:val="num" w:pos="4095"/>
        </w:tabs>
        <w:ind w:left="4095" w:hanging="360"/>
      </w:pPr>
      <w:rPr>
        <w:rFonts w:ascii="Wingdings" w:hAnsi="Wingdings" w:hint="default"/>
        <w:sz w:val="20"/>
      </w:rPr>
    </w:lvl>
    <w:lvl w:ilvl="8" w:tentative="1">
      <w:start w:val="1"/>
      <w:numFmt w:val="bullet"/>
      <w:lvlText w:val=""/>
      <w:lvlJc w:val="left"/>
      <w:pPr>
        <w:tabs>
          <w:tab w:val="num" w:pos="4815"/>
        </w:tabs>
        <w:ind w:left="4815" w:hanging="360"/>
      </w:pPr>
      <w:rPr>
        <w:rFonts w:ascii="Wingdings" w:hAnsi="Wingdings" w:hint="default"/>
        <w:sz w:val="20"/>
      </w:rPr>
    </w:lvl>
  </w:abstractNum>
  <w:abstractNum w:abstractNumId="5" w15:restartNumberingAfterBreak="0">
    <w:nsid w:val="1AAC6486"/>
    <w:multiLevelType w:val="multilevel"/>
    <w:tmpl w:val="81F8B084"/>
    <w:lvl w:ilvl="0">
      <w:start w:val="9"/>
      <w:numFmt w:val="decimal"/>
      <w:lvlText w:val="%1"/>
      <w:lvlJc w:val="left"/>
      <w:pPr>
        <w:ind w:left="525" w:hanging="525"/>
      </w:pPr>
      <w:rPr>
        <w:rFonts w:hint="default"/>
        <w:b w:val="0"/>
      </w:rPr>
    </w:lvl>
    <w:lvl w:ilvl="1">
      <w:start w:val="30"/>
      <w:numFmt w:val="decimal"/>
      <w:lvlText w:val="%1.%2"/>
      <w:lvlJc w:val="left"/>
      <w:pPr>
        <w:ind w:left="525" w:hanging="52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6" w15:restartNumberingAfterBreak="0">
    <w:nsid w:val="1FCC7D23"/>
    <w:multiLevelType w:val="multilevel"/>
    <w:tmpl w:val="F08E3002"/>
    <w:lvl w:ilvl="0">
      <w:start w:val="10"/>
      <w:numFmt w:val="decimal"/>
      <w:lvlText w:val="%1"/>
      <w:lvlJc w:val="left"/>
      <w:pPr>
        <w:ind w:left="675" w:hanging="675"/>
      </w:pPr>
      <w:rPr>
        <w:rFonts w:hint="default"/>
      </w:rPr>
    </w:lvl>
    <w:lvl w:ilvl="1">
      <w:start w:val="3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80E5EB6"/>
    <w:multiLevelType w:val="hybridMultilevel"/>
    <w:tmpl w:val="DB4A1DF6"/>
    <w:lvl w:ilvl="0" w:tplc="FFFFFFFF">
      <w:start w:val="1"/>
      <w:numFmt w:val="bullet"/>
      <w:lvlText w:val=""/>
      <w:lvlJc w:val="left"/>
      <w:pPr>
        <w:ind w:left="720" w:hanging="360"/>
      </w:pPr>
      <w:rPr>
        <w:rFonts w:ascii="Symbol" w:hAnsi="Symbol" w:hint="default"/>
      </w:rPr>
    </w:lvl>
    <w:lvl w:ilvl="1" w:tplc="C644C930">
      <w:start w:val="1"/>
      <w:numFmt w:val="decimal"/>
      <w:lvlText w:val="%2."/>
      <w:lvlJc w:val="left"/>
      <w:pPr>
        <w:ind w:left="720" w:hanging="360"/>
      </w:pPr>
      <w:rPr>
        <w:rFonts w:asciiTheme="minorHAnsi" w:eastAsiaTheme="minorHAnsi" w:hAnsiTheme="minorHAnsi" w:cstheme="minorBidi"/>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A27986"/>
    <w:multiLevelType w:val="hybridMultilevel"/>
    <w:tmpl w:val="C256F20A"/>
    <w:lvl w:ilvl="0" w:tplc="FFFFFFFF">
      <w:start w:val="1"/>
      <w:numFmt w:val="decimal"/>
      <w:lvlText w:val="%1."/>
      <w:lvlJc w:val="left"/>
      <w:pPr>
        <w:ind w:left="720" w:hanging="360"/>
      </w:pPr>
    </w:lvl>
    <w:lvl w:ilvl="1" w:tplc="0C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6C0E01"/>
    <w:multiLevelType w:val="hybridMultilevel"/>
    <w:tmpl w:val="DFDEDF4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15:restartNumberingAfterBreak="0">
    <w:nsid w:val="33F906B0"/>
    <w:multiLevelType w:val="hybridMultilevel"/>
    <w:tmpl w:val="6B6691DE"/>
    <w:lvl w:ilvl="0" w:tplc="C644C930">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7E71E9"/>
    <w:multiLevelType w:val="hybridMultilevel"/>
    <w:tmpl w:val="41A829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4FD51DC"/>
    <w:multiLevelType w:val="multilevel"/>
    <w:tmpl w:val="31142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AF3626"/>
    <w:multiLevelType w:val="multilevel"/>
    <w:tmpl w:val="18A23FF4"/>
    <w:lvl w:ilvl="0">
      <w:start w:val="9"/>
      <w:numFmt w:val="decimal"/>
      <w:lvlText w:val="%1"/>
      <w:lvlJc w:val="left"/>
      <w:pPr>
        <w:ind w:left="525" w:hanging="525"/>
      </w:pPr>
      <w:rPr>
        <w:rFonts w:hint="default"/>
      </w:rPr>
    </w:lvl>
    <w:lvl w:ilvl="1">
      <w:start w:val="30"/>
      <w:numFmt w:val="decimal"/>
      <w:lvlText w:val="%1.%2"/>
      <w:lvlJc w:val="left"/>
      <w:pPr>
        <w:ind w:left="951"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4DA21801"/>
    <w:multiLevelType w:val="multilevel"/>
    <w:tmpl w:val="3E7C65A4"/>
    <w:lvl w:ilvl="0">
      <w:start w:val="9"/>
      <w:numFmt w:val="decimal"/>
      <w:lvlText w:val="%1"/>
      <w:lvlJc w:val="left"/>
      <w:pPr>
        <w:ind w:left="525" w:hanging="525"/>
      </w:pPr>
      <w:rPr>
        <w:rFonts w:hint="default"/>
      </w:rPr>
    </w:lvl>
    <w:lvl w:ilvl="1">
      <w:start w:val="4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0202322"/>
    <w:multiLevelType w:val="multilevel"/>
    <w:tmpl w:val="057E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B20B2D"/>
    <w:multiLevelType w:val="multilevel"/>
    <w:tmpl w:val="01DCD1C4"/>
    <w:lvl w:ilvl="0">
      <w:start w:val="10"/>
      <w:numFmt w:val="decimal"/>
      <w:lvlText w:val="%1"/>
      <w:lvlJc w:val="left"/>
      <w:pPr>
        <w:ind w:left="525" w:hanging="525"/>
      </w:pPr>
      <w:rPr>
        <w:rFonts w:hint="default"/>
      </w:rPr>
    </w:lvl>
    <w:lvl w:ilvl="1">
      <w:start w:val="1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294094F"/>
    <w:multiLevelType w:val="hybridMultilevel"/>
    <w:tmpl w:val="851C2C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5870F4"/>
    <w:multiLevelType w:val="hybridMultilevel"/>
    <w:tmpl w:val="387C4620"/>
    <w:lvl w:ilvl="0" w:tplc="0C09000F">
      <w:start w:val="1"/>
      <w:numFmt w:val="decimal"/>
      <w:lvlText w:val="%1."/>
      <w:lvlJc w:val="left"/>
      <w:pPr>
        <w:ind w:left="720" w:hanging="360"/>
      </w:pPr>
    </w:lvl>
    <w:lvl w:ilvl="1" w:tplc="AF782FEE">
      <w:start w:val="1"/>
      <w:numFmt w:val="decimal"/>
      <w:lvlText w:val="%2."/>
      <w:lvlJc w:val="left"/>
      <w:pPr>
        <w:ind w:left="1440" w:hanging="360"/>
      </w:pPr>
      <w:rPr>
        <w:rFonts w:asciiTheme="minorHAnsi" w:eastAsiaTheme="minorHAnsi" w:hAnsiTheme="minorHAnsi" w:cstheme="minorBid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E9B112D"/>
    <w:multiLevelType w:val="hybridMultilevel"/>
    <w:tmpl w:val="EB92E38C"/>
    <w:lvl w:ilvl="0" w:tplc="81F2BE24">
      <w:start w:val="16"/>
      <w:numFmt w:val="decimal"/>
      <w:lvlText w:val="%1."/>
      <w:lvlJc w:val="left"/>
      <w:pPr>
        <w:ind w:left="1095" w:hanging="375"/>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7F06617F"/>
    <w:multiLevelType w:val="multilevel"/>
    <w:tmpl w:val="300C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356572"/>
    <w:multiLevelType w:val="hybridMultilevel"/>
    <w:tmpl w:val="5C28F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6229833">
    <w:abstractNumId w:val="2"/>
  </w:num>
  <w:num w:numId="2" w16cid:durableId="500318480">
    <w:abstractNumId w:val="1"/>
  </w:num>
  <w:num w:numId="3" w16cid:durableId="1037631733">
    <w:abstractNumId w:val="13"/>
  </w:num>
  <w:num w:numId="4" w16cid:durableId="1841656934">
    <w:abstractNumId w:val="5"/>
  </w:num>
  <w:num w:numId="5" w16cid:durableId="1482845056">
    <w:abstractNumId w:val="6"/>
  </w:num>
  <w:num w:numId="6" w16cid:durableId="421877462">
    <w:abstractNumId w:val="16"/>
  </w:num>
  <w:num w:numId="7" w16cid:durableId="255868505">
    <w:abstractNumId w:val="14"/>
  </w:num>
  <w:num w:numId="8" w16cid:durableId="887768193">
    <w:abstractNumId w:val="17"/>
  </w:num>
  <w:num w:numId="9" w16cid:durableId="1901399012">
    <w:abstractNumId w:val="7"/>
  </w:num>
  <w:num w:numId="10" w16cid:durableId="584605405">
    <w:abstractNumId w:val="10"/>
  </w:num>
  <w:num w:numId="11" w16cid:durableId="76904107">
    <w:abstractNumId w:val="0"/>
  </w:num>
  <w:num w:numId="12" w16cid:durableId="989363621">
    <w:abstractNumId w:val="8"/>
  </w:num>
  <w:num w:numId="13" w16cid:durableId="1159733319">
    <w:abstractNumId w:val="18"/>
  </w:num>
  <w:num w:numId="14" w16cid:durableId="1923566602">
    <w:abstractNumId w:val="19"/>
  </w:num>
  <w:num w:numId="15" w16cid:durableId="1906529734">
    <w:abstractNumId w:val="11"/>
  </w:num>
  <w:num w:numId="16" w16cid:durableId="780341487">
    <w:abstractNumId w:val="15"/>
  </w:num>
  <w:num w:numId="17" w16cid:durableId="138308090">
    <w:abstractNumId w:val="3"/>
  </w:num>
  <w:num w:numId="18" w16cid:durableId="1824463187">
    <w:abstractNumId w:val="21"/>
  </w:num>
  <w:num w:numId="19" w16cid:durableId="975261424">
    <w:abstractNumId w:val="9"/>
  </w:num>
  <w:num w:numId="20" w16cid:durableId="1622497071">
    <w:abstractNumId w:val="20"/>
  </w:num>
  <w:num w:numId="21" w16cid:durableId="247354483">
    <w:abstractNumId w:val="12"/>
  </w:num>
  <w:num w:numId="22" w16cid:durableId="6429291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DAA"/>
    <w:rsid w:val="000061D8"/>
    <w:rsid w:val="00015196"/>
    <w:rsid w:val="00015A39"/>
    <w:rsid w:val="000209B5"/>
    <w:rsid w:val="000305A9"/>
    <w:rsid w:val="00041744"/>
    <w:rsid w:val="000422AA"/>
    <w:rsid w:val="00043733"/>
    <w:rsid w:val="0007559C"/>
    <w:rsid w:val="0008047E"/>
    <w:rsid w:val="0008145B"/>
    <w:rsid w:val="00085BF5"/>
    <w:rsid w:val="000946AD"/>
    <w:rsid w:val="000965B7"/>
    <w:rsid w:val="000A190D"/>
    <w:rsid w:val="000A3C61"/>
    <w:rsid w:val="000B1C16"/>
    <w:rsid w:val="000B7FA4"/>
    <w:rsid w:val="000C01B3"/>
    <w:rsid w:val="00104BB4"/>
    <w:rsid w:val="00106A98"/>
    <w:rsid w:val="0010717B"/>
    <w:rsid w:val="001175BF"/>
    <w:rsid w:val="001213BB"/>
    <w:rsid w:val="001300EF"/>
    <w:rsid w:val="00130424"/>
    <w:rsid w:val="00131BF3"/>
    <w:rsid w:val="00134D84"/>
    <w:rsid w:val="00140029"/>
    <w:rsid w:val="0014242D"/>
    <w:rsid w:val="00145C40"/>
    <w:rsid w:val="001650C7"/>
    <w:rsid w:val="00176006"/>
    <w:rsid w:val="00185D97"/>
    <w:rsid w:val="00192618"/>
    <w:rsid w:val="00197C59"/>
    <w:rsid w:val="001B1F27"/>
    <w:rsid w:val="001B24E8"/>
    <w:rsid w:val="001B51E9"/>
    <w:rsid w:val="001D2AAE"/>
    <w:rsid w:val="001E080D"/>
    <w:rsid w:val="001E5434"/>
    <w:rsid w:val="001F110F"/>
    <w:rsid w:val="00202CEB"/>
    <w:rsid w:val="00222B16"/>
    <w:rsid w:val="00237F92"/>
    <w:rsid w:val="00250FEB"/>
    <w:rsid w:val="00253016"/>
    <w:rsid w:val="0025644E"/>
    <w:rsid w:val="002565B7"/>
    <w:rsid w:val="00261F37"/>
    <w:rsid w:val="00267979"/>
    <w:rsid w:val="0027201F"/>
    <w:rsid w:val="00280DB1"/>
    <w:rsid w:val="00281B88"/>
    <w:rsid w:val="00282D28"/>
    <w:rsid w:val="00290221"/>
    <w:rsid w:val="00294BB8"/>
    <w:rsid w:val="002A09A4"/>
    <w:rsid w:val="002A3E5E"/>
    <w:rsid w:val="002B3843"/>
    <w:rsid w:val="002B6A7F"/>
    <w:rsid w:val="002C15F9"/>
    <w:rsid w:val="002C677F"/>
    <w:rsid w:val="002C6C3E"/>
    <w:rsid w:val="002D3A36"/>
    <w:rsid w:val="002E71FA"/>
    <w:rsid w:val="002F4907"/>
    <w:rsid w:val="0030484A"/>
    <w:rsid w:val="0032330F"/>
    <w:rsid w:val="00330E37"/>
    <w:rsid w:val="0033192D"/>
    <w:rsid w:val="00336118"/>
    <w:rsid w:val="00340F15"/>
    <w:rsid w:val="003437C9"/>
    <w:rsid w:val="00344CD9"/>
    <w:rsid w:val="003468D7"/>
    <w:rsid w:val="00351D56"/>
    <w:rsid w:val="0035749F"/>
    <w:rsid w:val="00361DC9"/>
    <w:rsid w:val="003708BA"/>
    <w:rsid w:val="003738D7"/>
    <w:rsid w:val="0038179E"/>
    <w:rsid w:val="003876F1"/>
    <w:rsid w:val="00393C15"/>
    <w:rsid w:val="00394726"/>
    <w:rsid w:val="003A013D"/>
    <w:rsid w:val="003A2B63"/>
    <w:rsid w:val="003A4A96"/>
    <w:rsid w:val="003A4DE8"/>
    <w:rsid w:val="003B014C"/>
    <w:rsid w:val="003B1B0C"/>
    <w:rsid w:val="003C3674"/>
    <w:rsid w:val="003C6F2D"/>
    <w:rsid w:val="003D36AB"/>
    <w:rsid w:val="003D46C0"/>
    <w:rsid w:val="003D57D1"/>
    <w:rsid w:val="003E3BA2"/>
    <w:rsid w:val="003E6032"/>
    <w:rsid w:val="003F0A83"/>
    <w:rsid w:val="003F7A35"/>
    <w:rsid w:val="003F7E01"/>
    <w:rsid w:val="00417E37"/>
    <w:rsid w:val="00436A3E"/>
    <w:rsid w:val="004474AB"/>
    <w:rsid w:val="00456C4D"/>
    <w:rsid w:val="004626E2"/>
    <w:rsid w:val="00471B63"/>
    <w:rsid w:val="00475041"/>
    <w:rsid w:val="004822CE"/>
    <w:rsid w:val="0048274C"/>
    <w:rsid w:val="00486650"/>
    <w:rsid w:val="00487ED1"/>
    <w:rsid w:val="004962CD"/>
    <w:rsid w:val="004A7A36"/>
    <w:rsid w:val="004B0053"/>
    <w:rsid w:val="004B1826"/>
    <w:rsid w:val="004B5E5E"/>
    <w:rsid w:val="004E3915"/>
    <w:rsid w:val="004F17E8"/>
    <w:rsid w:val="004F1AD1"/>
    <w:rsid w:val="004F45C1"/>
    <w:rsid w:val="005142B9"/>
    <w:rsid w:val="00524FA6"/>
    <w:rsid w:val="0053393B"/>
    <w:rsid w:val="00536BEA"/>
    <w:rsid w:val="005454FA"/>
    <w:rsid w:val="00545958"/>
    <w:rsid w:val="005479AF"/>
    <w:rsid w:val="00550612"/>
    <w:rsid w:val="00552C06"/>
    <w:rsid w:val="005556AD"/>
    <w:rsid w:val="00561935"/>
    <w:rsid w:val="005833F2"/>
    <w:rsid w:val="005863DF"/>
    <w:rsid w:val="005903FA"/>
    <w:rsid w:val="005A4CCD"/>
    <w:rsid w:val="005A53B4"/>
    <w:rsid w:val="005A7698"/>
    <w:rsid w:val="005B11A7"/>
    <w:rsid w:val="005B73A5"/>
    <w:rsid w:val="005C3637"/>
    <w:rsid w:val="005C65EC"/>
    <w:rsid w:val="005C65F3"/>
    <w:rsid w:val="005D2DE4"/>
    <w:rsid w:val="005D6559"/>
    <w:rsid w:val="005E6951"/>
    <w:rsid w:val="005E7A3C"/>
    <w:rsid w:val="005F34FD"/>
    <w:rsid w:val="00610E99"/>
    <w:rsid w:val="00611BFA"/>
    <w:rsid w:val="0061384C"/>
    <w:rsid w:val="00615060"/>
    <w:rsid w:val="00615372"/>
    <w:rsid w:val="006174C4"/>
    <w:rsid w:val="006248D0"/>
    <w:rsid w:val="00631D35"/>
    <w:rsid w:val="00633BE4"/>
    <w:rsid w:val="00650B8A"/>
    <w:rsid w:val="0065351A"/>
    <w:rsid w:val="00656821"/>
    <w:rsid w:val="0067468A"/>
    <w:rsid w:val="00680835"/>
    <w:rsid w:val="006828CF"/>
    <w:rsid w:val="00682F6A"/>
    <w:rsid w:val="00682FCD"/>
    <w:rsid w:val="006859C3"/>
    <w:rsid w:val="00690E67"/>
    <w:rsid w:val="006934CE"/>
    <w:rsid w:val="00693B56"/>
    <w:rsid w:val="00697873"/>
    <w:rsid w:val="00697EF6"/>
    <w:rsid w:val="006B1A85"/>
    <w:rsid w:val="006C44C9"/>
    <w:rsid w:val="006E403C"/>
    <w:rsid w:val="006E4139"/>
    <w:rsid w:val="006E55CD"/>
    <w:rsid w:val="006F0DC0"/>
    <w:rsid w:val="006F0DE6"/>
    <w:rsid w:val="006F2B6F"/>
    <w:rsid w:val="006F63A6"/>
    <w:rsid w:val="0070693E"/>
    <w:rsid w:val="00710431"/>
    <w:rsid w:val="00715948"/>
    <w:rsid w:val="00717D1A"/>
    <w:rsid w:val="007345DD"/>
    <w:rsid w:val="00740F76"/>
    <w:rsid w:val="0074495B"/>
    <w:rsid w:val="007474C2"/>
    <w:rsid w:val="007474E3"/>
    <w:rsid w:val="00762F7F"/>
    <w:rsid w:val="00764DB7"/>
    <w:rsid w:val="007761C6"/>
    <w:rsid w:val="00787BC4"/>
    <w:rsid w:val="00791ADE"/>
    <w:rsid w:val="007A3A89"/>
    <w:rsid w:val="007A4DF3"/>
    <w:rsid w:val="007A6161"/>
    <w:rsid w:val="007C1523"/>
    <w:rsid w:val="007D3C5D"/>
    <w:rsid w:val="007E1412"/>
    <w:rsid w:val="007E3E98"/>
    <w:rsid w:val="007F13D8"/>
    <w:rsid w:val="007F1BD7"/>
    <w:rsid w:val="00805A73"/>
    <w:rsid w:val="00811ECD"/>
    <w:rsid w:val="00823EF1"/>
    <w:rsid w:val="00824F34"/>
    <w:rsid w:val="008266F8"/>
    <w:rsid w:val="00840C0D"/>
    <w:rsid w:val="00844F6C"/>
    <w:rsid w:val="0086420C"/>
    <w:rsid w:val="008773E7"/>
    <w:rsid w:val="0088221F"/>
    <w:rsid w:val="00890E19"/>
    <w:rsid w:val="00894C0E"/>
    <w:rsid w:val="008A4B88"/>
    <w:rsid w:val="008B1851"/>
    <w:rsid w:val="008C0B9B"/>
    <w:rsid w:val="008C3234"/>
    <w:rsid w:val="008C737A"/>
    <w:rsid w:val="008D099D"/>
    <w:rsid w:val="008E2BB0"/>
    <w:rsid w:val="008E652D"/>
    <w:rsid w:val="008E6994"/>
    <w:rsid w:val="008E7F1D"/>
    <w:rsid w:val="008F6AAF"/>
    <w:rsid w:val="00913387"/>
    <w:rsid w:val="009225B2"/>
    <w:rsid w:val="00922E16"/>
    <w:rsid w:val="009230CE"/>
    <w:rsid w:val="0092594A"/>
    <w:rsid w:val="00936320"/>
    <w:rsid w:val="0093767C"/>
    <w:rsid w:val="0094302B"/>
    <w:rsid w:val="00950093"/>
    <w:rsid w:val="00953911"/>
    <w:rsid w:val="00961CD7"/>
    <w:rsid w:val="009720BB"/>
    <w:rsid w:val="00976C38"/>
    <w:rsid w:val="00976F0C"/>
    <w:rsid w:val="00985164"/>
    <w:rsid w:val="009855E4"/>
    <w:rsid w:val="00985F46"/>
    <w:rsid w:val="009977C5"/>
    <w:rsid w:val="009A461C"/>
    <w:rsid w:val="009A5F38"/>
    <w:rsid w:val="009B0E35"/>
    <w:rsid w:val="009B5DAA"/>
    <w:rsid w:val="009C0C58"/>
    <w:rsid w:val="009C3DC0"/>
    <w:rsid w:val="009C5BE4"/>
    <w:rsid w:val="009C76B4"/>
    <w:rsid w:val="009D179C"/>
    <w:rsid w:val="009D47BD"/>
    <w:rsid w:val="009D7DD5"/>
    <w:rsid w:val="009E0092"/>
    <w:rsid w:val="009E235F"/>
    <w:rsid w:val="009E49FC"/>
    <w:rsid w:val="009E5AE3"/>
    <w:rsid w:val="009E5DC1"/>
    <w:rsid w:val="009E7D23"/>
    <w:rsid w:val="009F2BFC"/>
    <w:rsid w:val="00A050FB"/>
    <w:rsid w:val="00A1341C"/>
    <w:rsid w:val="00A43E08"/>
    <w:rsid w:val="00A60186"/>
    <w:rsid w:val="00A65D69"/>
    <w:rsid w:val="00A71994"/>
    <w:rsid w:val="00A72EC7"/>
    <w:rsid w:val="00A73960"/>
    <w:rsid w:val="00A803E0"/>
    <w:rsid w:val="00A86A69"/>
    <w:rsid w:val="00A972D7"/>
    <w:rsid w:val="00AB02E9"/>
    <w:rsid w:val="00AC438C"/>
    <w:rsid w:val="00AC73F6"/>
    <w:rsid w:val="00AD4A04"/>
    <w:rsid w:val="00AE7439"/>
    <w:rsid w:val="00AF6097"/>
    <w:rsid w:val="00AF68A9"/>
    <w:rsid w:val="00B012B8"/>
    <w:rsid w:val="00B0135B"/>
    <w:rsid w:val="00B01F10"/>
    <w:rsid w:val="00B2069F"/>
    <w:rsid w:val="00B36871"/>
    <w:rsid w:val="00B3729D"/>
    <w:rsid w:val="00B43105"/>
    <w:rsid w:val="00B55D28"/>
    <w:rsid w:val="00B6472F"/>
    <w:rsid w:val="00B67764"/>
    <w:rsid w:val="00B67C6D"/>
    <w:rsid w:val="00B70866"/>
    <w:rsid w:val="00B7209E"/>
    <w:rsid w:val="00B72C02"/>
    <w:rsid w:val="00B75B84"/>
    <w:rsid w:val="00B77E6A"/>
    <w:rsid w:val="00B9699D"/>
    <w:rsid w:val="00B97516"/>
    <w:rsid w:val="00BB568C"/>
    <w:rsid w:val="00BB76B0"/>
    <w:rsid w:val="00BD2C2C"/>
    <w:rsid w:val="00BD5FE1"/>
    <w:rsid w:val="00BE0FAD"/>
    <w:rsid w:val="00BE4A87"/>
    <w:rsid w:val="00BE61F4"/>
    <w:rsid w:val="00BF60E1"/>
    <w:rsid w:val="00C109B5"/>
    <w:rsid w:val="00C20366"/>
    <w:rsid w:val="00C20CF8"/>
    <w:rsid w:val="00C24387"/>
    <w:rsid w:val="00C431CE"/>
    <w:rsid w:val="00C447CD"/>
    <w:rsid w:val="00C50B0C"/>
    <w:rsid w:val="00C66481"/>
    <w:rsid w:val="00C737CD"/>
    <w:rsid w:val="00C74C4D"/>
    <w:rsid w:val="00C76D8B"/>
    <w:rsid w:val="00C82E0F"/>
    <w:rsid w:val="00C84D78"/>
    <w:rsid w:val="00C93F04"/>
    <w:rsid w:val="00C9590C"/>
    <w:rsid w:val="00CA0BEB"/>
    <w:rsid w:val="00CA10C9"/>
    <w:rsid w:val="00CA1263"/>
    <w:rsid w:val="00CA3B14"/>
    <w:rsid w:val="00CA6036"/>
    <w:rsid w:val="00CB1967"/>
    <w:rsid w:val="00CC252C"/>
    <w:rsid w:val="00CD00CF"/>
    <w:rsid w:val="00CF5AEB"/>
    <w:rsid w:val="00D02155"/>
    <w:rsid w:val="00D02F30"/>
    <w:rsid w:val="00D10EB3"/>
    <w:rsid w:val="00D15343"/>
    <w:rsid w:val="00D2737B"/>
    <w:rsid w:val="00D33982"/>
    <w:rsid w:val="00D4087C"/>
    <w:rsid w:val="00D452A1"/>
    <w:rsid w:val="00D50FBB"/>
    <w:rsid w:val="00D605A4"/>
    <w:rsid w:val="00D708FB"/>
    <w:rsid w:val="00D75BC5"/>
    <w:rsid w:val="00D82B74"/>
    <w:rsid w:val="00D85838"/>
    <w:rsid w:val="00D876A7"/>
    <w:rsid w:val="00D87D25"/>
    <w:rsid w:val="00D9765E"/>
    <w:rsid w:val="00DA4643"/>
    <w:rsid w:val="00DC1C2C"/>
    <w:rsid w:val="00DC4473"/>
    <w:rsid w:val="00DC55A5"/>
    <w:rsid w:val="00DC7C46"/>
    <w:rsid w:val="00DC7C5D"/>
    <w:rsid w:val="00DD0261"/>
    <w:rsid w:val="00DD0320"/>
    <w:rsid w:val="00DD1973"/>
    <w:rsid w:val="00DD4FB4"/>
    <w:rsid w:val="00DD559F"/>
    <w:rsid w:val="00DD6392"/>
    <w:rsid w:val="00DF33DF"/>
    <w:rsid w:val="00DF34EA"/>
    <w:rsid w:val="00E00348"/>
    <w:rsid w:val="00E01131"/>
    <w:rsid w:val="00E02414"/>
    <w:rsid w:val="00E03D16"/>
    <w:rsid w:val="00E11BA0"/>
    <w:rsid w:val="00E3756D"/>
    <w:rsid w:val="00E64948"/>
    <w:rsid w:val="00E668D6"/>
    <w:rsid w:val="00E66F2D"/>
    <w:rsid w:val="00E72B0B"/>
    <w:rsid w:val="00E75963"/>
    <w:rsid w:val="00E75EA8"/>
    <w:rsid w:val="00E8186F"/>
    <w:rsid w:val="00E91510"/>
    <w:rsid w:val="00E9385F"/>
    <w:rsid w:val="00E959C1"/>
    <w:rsid w:val="00E9637A"/>
    <w:rsid w:val="00E9655B"/>
    <w:rsid w:val="00EA4696"/>
    <w:rsid w:val="00ED2A1C"/>
    <w:rsid w:val="00ED5758"/>
    <w:rsid w:val="00EE5F61"/>
    <w:rsid w:val="00EF1615"/>
    <w:rsid w:val="00F02D49"/>
    <w:rsid w:val="00F0320E"/>
    <w:rsid w:val="00F0642A"/>
    <w:rsid w:val="00F11AC4"/>
    <w:rsid w:val="00F14A08"/>
    <w:rsid w:val="00F34A17"/>
    <w:rsid w:val="00F400AB"/>
    <w:rsid w:val="00F55466"/>
    <w:rsid w:val="00F56553"/>
    <w:rsid w:val="00F64133"/>
    <w:rsid w:val="00F6618F"/>
    <w:rsid w:val="00F665D8"/>
    <w:rsid w:val="00F7055C"/>
    <w:rsid w:val="00F7222C"/>
    <w:rsid w:val="00F729C5"/>
    <w:rsid w:val="00F75408"/>
    <w:rsid w:val="00F758E8"/>
    <w:rsid w:val="00F75DBC"/>
    <w:rsid w:val="00F96DF8"/>
    <w:rsid w:val="00FA1149"/>
    <w:rsid w:val="00FA4E2E"/>
    <w:rsid w:val="00FB388A"/>
    <w:rsid w:val="00FB5844"/>
    <w:rsid w:val="00FC0BCC"/>
    <w:rsid w:val="00FC64B4"/>
    <w:rsid w:val="00FD034B"/>
    <w:rsid w:val="00FD41E2"/>
    <w:rsid w:val="00FD4AD2"/>
    <w:rsid w:val="00FE0023"/>
    <w:rsid w:val="00FE1280"/>
    <w:rsid w:val="00FE43F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92B56"/>
  <w15:docId w15:val="{CE8EAE07-F07F-45F2-B82A-1FC6048DE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F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DAA"/>
    <w:pPr>
      <w:ind w:left="720"/>
      <w:contextualSpacing/>
    </w:pPr>
  </w:style>
  <w:style w:type="paragraph" w:styleId="Header">
    <w:name w:val="header"/>
    <w:basedOn w:val="Normal"/>
    <w:link w:val="HeaderChar"/>
    <w:uiPriority w:val="99"/>
    <w:unhideWhenUsed/>
    <w:rsid w:val="000804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47E"/>
  </w:style>
  <w:style w:type="paragraph" w:styleId="Footer">
    <w:name w:val="footer"/>
    <w:basedOn w:val="Normal"/>
    <w:link w:val="FooterChar"/>
    <w:uiPriority w:val="99"/>
    <w:unhideWhenUsed/>
    <w:rsid w:val="000804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47E"/>
  </w:style>
  <w:style w:type="character" w:styleId="Hyperlink">
    <w:name w:val="Hyperlink"/>
    <w:basedOn w:val="DefaultParagraphFont"/>
    <w:uiPriority w:val="99"/>
    <w:unhideWhenUsed/>
    <w:rsid w:val="00C93F04"/>
    <w:rPr>
      <w:color w:val="0563C1" w:themeColor="hyperlink"/>
      <w:u w:val="single"/>
    </w:rPr>
  </w:style>
  <w:style w:type="character" w:customStyle="1" w:styleId="UnresolvedMention1">
    <w:name w:val="Unresolved Mention1"/>
    <w:basedOn w:val="DefaultParagraphFont"/>
    <w:uiPriority w:val="99"/>
    <w:semiHidden/>
    <w:unhideWhenUsed/>
    <w:rsid w:val="00C93F04"/>
    <w:rPr>
      <w:color w:val="605E5C"/>
      <w:shd w:val="clear" w:color="auto" w:fill="E1DFDD"/>
    </w:rPr>
  </w:style>
  <w:style w:type="paragraph" w:styleId="BalloonText">
    <w:name w:val="Balloon Text"/>
    <w:basedOn w:val="Normal"/>
    <w:link w:val="BalloonTextChar"/>
    <w:uiPriority w:val="99"/>
    <w:semiHidden/>
    <w:unhideWhenUsed/>
    <w:rsid w:val="00894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C0E"/>
    <w:rPr>
      <w:rFonts w:ascii="Tahoma" w:hAnsi="Tahoma" w:cs="Tahoma"/>
      <w:sz w:val="16"/>
      <w:szCs w:val="16"/>
    </w:rPr>
  </w:style>
  <w:style w:type="table" w:styleId="TableGrid">
    <w:name w:val="Table Grid"/>
    <w:basedOn w:val="TableNormal"/>
    <w:uiPriority w:val="39"/>
    <w:rsid w:val="00394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94726"/>
    <w:pPr>
      <w:spacing w:before="100" w:beforeAutospacing="1" w:after="100" w:afterAutospacing="1" w:line="240" w:lineRule="auto"/>
    </w:pPr>
    <w:rPr>
      <w:rFonts w:ascii="Times New Roman" w:eastAsia="Times New Roman" w:hAnsi="Times New Roman" w:cs="Times New Roman"/>
      <w:sz w:val="24"/>
      <w:szCs w:val="24"/>
      <w:lang w:eastAsia="zh-CN" w:bidi="th-TH"/>
    </w:rPr>
  </w:style>
  <w:style w:type="character" w:customStyle="1" w:styleId="UnresolvedMention2">
    <w:name w:val="Unresolved Mention2"/>
    <w:basedOn w:val="DefaultParagraphFont"/>
    <w:uiPriority w:val="99"/>
    <w:semiHidden/>
    <w:unhideWhenUsed/>
    <w:rsid w:val="00E75963"/>
    <w:rPr>
      <w:color w:val="605E5C"/>
      <w:shd w:val="clear" w:color="auto" w:fill="E1DFDD"/>
    </w:rPr>
  </w:style>
  <w:style w:type="character" w:styleId="UnresolvedMention">
    <w:name w:val="Unresolved Mention"/>
    <w:basedOn w:val="DefaultParagraphFont"/>
    <w:uiPriority w:val="99"/>
    <w:semiHidden/>
    <w:unhideWhenUsed/>
    <w:rsid w:val="00197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766709">
      <w:bodyDiv w:val="1"/>
      <w:marLeft w:val="0"/>
      <w:marRight w:val="0"/>
      <w:marTop w:val="0"/>
      <w:marBottom w:val="0"/>
      <w:divBdr>
        <w:top w:val="none" w:sz="0" w:space="0" w:color="auto"/>
        <w:left w:val="none" w:sz="0" w:space="0" w:color="auto"/>
        <w:bottom w:val="none" w:sz="0" w:space="0" w:color="auto"/>
        <w:right w:val="none" w:sz="0" w:space="0" w:color="auto"/>
      </w:divBdr>
    </w:div>
    <w:div w:id="1425343245">
      <w:bodyDiv w:val="1"/>
      <w:marLeft w:val="0"/>
      <w:marRight w:val="0"/>
      <w:marTop w:val="0"/>
      <w:marBottom w:val="0"/>
      <w:divBdr>
        <w:top w:val="none" w:sz="0" w:space="0" w:color="auto"/>
        <w:left w:val="none" w:sz="0" w:space="0" w:color="auto"/>
        <w:bottom w:val="none" w:sz="0" w:space="0" w:color="auto"/>
        <w:right w:val="none" w:sz="0" w:space="0" w:color="auto"/>
      </w:divBdr>
    </w:div>
    <w:div w:id="193909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ya.kilkenny@parliament" TargetMode="External"/><Relationship Id="rId13" Type="http://schemas.openxmlformats.org/officeDocument/2006/relationships/hyperlink" Target="https://www.crowag.com/events" TargetMode="External"/><Relationship Id="rId3" Type="http://schemas.openxmlformats.org/officeDocument/2006/relationships/settings" Target="settings.xml"/><Relationship Id="rId7" Type="http://schemas.openxmlformats.org/officeDocument/2006/relationships/hyperlink" Target="http://activity.centres@transport.vic.gov.au"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ctivity.centres@transport.vic.gov.au" TargetMode="External"/><Relationship Id="rId4" Type="http://schemas.openxmlformats.org/officeDocument/2006/relationships/webSettings" Target="webSettings.xml"/><Relationship Id="rId9" Type="http://schemas.openxmlformats.org/officeDocument/2006/relationships/hyperlink" Target="mailto:steve.dimopoulos@parliament" TargetMode="External"/><Relationship Id="rId14" Type="http://schemas.openxmlformats.org/officeDocument/2006/relationships/hyperlink" Target="https://blackburnbrag.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1721</Words>
  <Characters>9812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Gillespie</dc:creator>
  <cp:lastModifiedBy>David Morrison</cp:lastModifiedBy>
  <cp:revision>3</cp:revision>
  <cp:lastPrinted>2025-11-04T06:40:00Z</cp:lastPrinted>
  <dcterms:created xsi:type="dcterms:W3CDTF">2025-11-10T04:11:00Z</dcterms:created>
  <dcterms:modified xsi:type="dcterms:W3CDTF">2025-11-10T04:11:00Z</dcterms:modified>
</cp:coreProperties>
</file>